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82BF" w14:textId="77777777" w:rsidR="00B860D6" w:rsidRPr="001A5CEE" w:rsidRDefault="00B860D6" w:rsidP="0026027A">
      <w:pPr>
        <w:rPr>
          <w:rFonts w:eastAsia="Times New Roman" w:cstheme="minorHAnsi"/>
          <w:b/>
          <w:bCs/>
          <w:color w:val="000000"/>
          <w:sz w:val="21"/>
          <w:szCs w:val="21"/>
          <w:lang w:val="en-GB"/>
        </w:rPr>
      </w:pPr>
    </w:p>
    <w:p w14:paraId="2BC055CF" w14:textId="50B10C8E" w:rsidR="0065130D" w:rsidRPr="001A5CEE" w:rsidRDefault="0065130D" w:rsidP="00D4302C">
      <w:pPr>
        <w:jc w:val="center"/>
        <w:rPr>
          <w:rFonts w:eastAsia="Times New Roman" w:cstheme="minorHAnsi"/>
          <w:b/>
          <w:bCs/>
          <w:color w:val="000000"/>
          <w:sz w:val="21"/>
          <w:szCs w:val="21"/>
          <w:lang w:val="en-GB"/>
        </w:rPr>
      </w:pPr>
      <w:r w:rsidRPr="001A5CEE">
        <w:rPr>
          <w:rFonts w:eastAsia="Times New Roman" w:cstheme="minorHAnsi"/>
          <w:b/>
          <w:bCs/>
          <w:color w:val="000000"/>
          <w:sz w:val="21"/>
          <w:szCs w:val="21"/>
          <w:lang w:val="en-GB"/>
        </w:rPr>
        <w:t>PRIVACY POLICY ON PERSONAL DATA PROCESSING FOR USE OF THE "</w:t>
      </w:r>
      <w:bookmarkStart w:id="0" w:name="_Hlk41035987"/>
      <w:r w:rsidRPr="001A5CEE">
        <w:rPr>
          <w:rFonts w:eastAsia="Times New Roman" w:cstheme="minorHAnsi"/>
          <w:b/>
          <w:bCs/>
          <w:color w:val="000000"/>
          <w:sz w:val="21"/>
          <w:szCs w:val="21"/>
          <w:lang w:val="en-GB"/>
        </w:rPr>
        <w:t>ASSET MANAGER WEB PLATFORM</w:t>
      </w:r>
      <w:bookmarkEnd w:id="0"/>
      <w:r w:rsidRPr="001A5CEE">
        <w:rPr>
          <w:rFonts w:eastAsia="Times New Roman" w:cstheme="minorHAnsi"/>
          <w:b/>
          <w:bCs/>
          <w:color w:val="000000"/>
          <w:sz w:val="21"/>
          <w:szCs w:val="21"/>
          <w:lang w:val="en-GB"/>
        </w:rPr>
        <w:t>"</w:t>
      </w:r>
    </w:p>
    <w:p w14:paraId="0CA8C2AA" w14:textId="5F9C2734" w:rsidR="0065130D" w:rsidRPr="001A5CEE" w:rsidRDefault="0065130D" w:rsidP="00D4302C">
      <w:pPr>
        <w:jc w:val="center"/>
        <w:rPr>
          <w:rFonts w:eastAsia="Times New Roman" w:cstheme="minorHAnsi"/>
          <w:b/>
          <w:bCs/>
          <w:color w:val="000000"/>
          <w:sz w:val="21"/>
          <w:szCs w:val="21"/>
          <w:lang w:val="en-GB"/>
        </w:rPr>
      </w:pPr>
    </w:p>
    <w:p w14:paraId="4140ACC7" w14:textId="2C97F174" w:rsidR="0065130D" w:rsidRPr="001A5CEE" w:rsidRDefault="0065130D" w:rsidP="00D407C5">
      <w:pPr>
        <w:jc w:val="both"/>
        <w:rPr>
          <w:rFonts w:eastAsia="Times New Roman" w:cstheme="minorHAnsi"/>
          <w:color w:val="000000"/>
          <w:sz w:val="21"/>
          <w:szCs w:val="21"/>
          <w:lang w:val="en-GB"/>
        </w:rPr>
      </w:pPr>
      <w:r w:rsidRPr="001A5CEE">
        <w:rPr>
          <w:color w:val="000000"/>
          <w:sz w:val="21"/>
          <w:szCs w:val="21"/>
          <w:lang w:val="en-GB"/>
        </w:rPr>
        <w:t>Before you provide us with your personal data, in accordance with the provisions laid down by the European Data Protection Regulation 2016/679 ("</w:t>
      </w:r>
      <w:r w:rsidRPr="001A5CEE">
        <w:rPr>
          <w:b/>
          <w:bCs/>
          <w:color w:val="000000"/>
          <w:sz w:val="21"/>
          <w:lang w:val="en-GB"/>
        </w:rPr>
        <w:t>GDPR</w:t>
      </w:r>
      <w:r w:rsidRPr="001A5CEE">
        <w:rPr>
          <w:color w:val="000000"/>
          <w:sz w:val="21"/>
          <w:szCs w:val="21"/>
          <w:lang w:val="en-GB"/>
        </w:rPr>
        <w:t>''), you are required to read a series of information that will enable you to understand why your personal data will be processed, what your rights are and how you can exercise them.</w:t>
      </w:r>
    </w:p>
    <w:p w14:paraId="693130E5" w14:textId="5430A780" w:rsidR="0065130D" w:rsidRPr="001A5CEE" w:rsidRDefault="0065130D" w:rsidP="00D407C5">
      <w:pPr>
        <w:jc w:val="both"/>
        <w:rPr>
          <w:rFonts w:eastAsia="Times New Roman" w:cstheme="minorHAnsi"/>
          <w:b/>
          <w:bCs/>
          <w:color w:val="000000"/>
          <w:sz w:val="21"/>
          <w:szCs w:val="21"/>
          <w:lang w:val="en-GB"/>
        </w:rPr>
      </w:pPr>
      <w:r w:rsidRPr="001A5CEE">
        <w:rPr>
          <w:rFonts w:eastAsia="Times New Roman" w:cstheme="minorHAnsi"/>
          <w:b/>
          <w:bCs/>
          <w:color w:val="000000"/>
          <w:sz w:val="21"/>
          <w:szCs w:val="21"/>
          <w:lang w:val="en-GB"/>
        </w:rPr>
        <w:t>1. PURPOSE, LEGAL BASIS AND NATURE OF THE PROVISION, STORAGE PERIODS</w:t>
      </w:r>
    </w:p>
    <w:p w14:paraId="7AA5482C" w14:textId="4B4A55F6" w:rsidR="0031173D" w:rsidRPr="001A5CEE" w:rsidRDefault="0065130D" w:rsidP="00D407C5">
      <w:pPr>
        <w:jc w:val="both"/>
        <w:rPr>
          <w:rFonts w:eastAsia="Times New Roman" w:cstheme="minorHAnsi"/>
          <w:color w:val="000000"/>
          <w:sz w:val="21"/>
          <w:szCs w:val="21"/>
          <w:lang w:val="en-GB"/>
        </w:rPr>
      </w:pPr>
      <w:r w:rsidRPr="001A5CEE">
        <w:rPr>
          <w:color w:val="000000"/>
          <w:sz w:val="21"/>
          <w:szCs w:val="21"/>
          <w:lang w:val="en-GB"/>
        </w:rPr>
        <w:t xml:space="preserve">The </w:t>
      </w:r>
      <w:r w:rsidRPr="001A5CEE">
        <w:rPr>
          <w:b/>
          <w:bCs/>
          <w:color w:val="000000"/>
          <w:sz w:val="21"/>
          <w:szCs w:val="21"/>
          <w:lang w:val="en-GB"/>
        </w:rPr>
        <w:t xml:space="preserve">personal data and contact details </w:t>
      </w:r>
      <w:r w:rsidRPr="001A5CEE">
        <w:rPr>
          <w:color w:val="000000"/>
          <w:sz w:val="21"/>
          <w:szCs w:val="21"/>
          <w:lang w:val="en-GB"/>
        </w:rPr>
        <w:t>(</w:t>
      </w:r>
      <w:r w:rsidRPr="001A5CEE">
        <w:rPr>
          <w:b/>
          <w:bCs/>
          <w:color w:val="000000"/>
          <w:sz w:val="21"/>
          <w:szCs w:val="21"/>
          <w:lang w:val="en-GB"/>
        </w:rPr>
        <w:t>''Data''</w:t>
      </w:r>
      <w:r w:rsidRPr="001A5CEE">
        <w:rPr>
          <w:color w:val="000000"/>
          <w:sz w:val="21"/>
          <w:szCs w:val="21"/>
          <w:lang w:val="en-GB"/>
        </w:rPr>
        <w:t xml:space="preserve">) </w:t>
      </w:r>
      <w:r w:rsidRPr="001A5CEE">
        <w:rPr>
          <w:color w:val="000000"/>
          <w:sz w:val="21"/>
          <w:lang w:val="en-GB"/>
        </w:rPr>
        <w:t xml:space="preserve">you provided </w:t>
      </w:r>
      <w:r w:rsidRPr="001A5CEE">
        <w:rPr>
          <w:color w:val="000000"/>
          <w:sz w:val="21"/>
          <w:szCs w:val="21"/>
          <w:lang w:val="en-GB"/>
        </w:rPr>
        <w:t>are processed as specified</w:t>
      </w:r>
      <w:r w:rsidRPr="001A5CEE">
        <w:rPr>
          <w:color w:val="000000"/>
          <w:sz w:val="21"/>
          <w:lang w:val="en-GB"/>
        </w:rPr>
        <w:t xml:space="preserve"> in the </w:t>
      </w:r>
      <w:r w:rsidRPr="001A5CEE">
        <w:rPr>
          <w:color w:val="000000"/>
          <w:sz w:val="21"/>
          <w:szCs w:val="21"/>
          <w:lang w:val="en-GB"/>
        </w:rPr>
        <w:t>table below:</w:t>
      </w:r>
    </w:p>
    <w:tbl>
      <w:tblPr>
        <w:tblStyle w:val="Grigliatabella"/>
        <w:tblW w:w="9796" w:type="dxa"/>
        <w:jc w:val="center"/>
        <w:tblLook w:val="04A0" w:firstRow="1" w:lastRow="0" w:firstColumn="1" w:lastColumn="0" w:noHBand="0" w:noVBand="1"/>
      </w:tblPr>
      <w:tblGrid>
        <w:gridCol w:w="328"/>
        <w:gridCol w:w="4344"/>
        <w:gridCol w:w="3024"/>
        <w:gridCol w:w="2100"/>
      </w:tblGrid>
      <w:tr w:rsidR="00FA67C2" w:rsidRPr="001A5CEE" w14:paraId="00DD088F" w14:textId="77777777" w:rsidTr="00B81EE0">
        <w:trPr>
          <w:jc w:val="center"/>
        </w:trPr>
        <w:tc>
          <w:tcPr>
            <w:tcW w:w="283" w:type="dxa"/>
          </w:tcPr>
          <w:p w14:paraId="7ECFF0F0" w14:textId="77777777" w:rsidR="00FA67C2" w:rsidRPr="001A5CEE" w:rsidRDefault="00FA67C2" w:rsidP="00517497">
            <w:pPr>
              <w:jc w:val="both"/>
              <w:rPr>
                <w:rFonts w:ascii="Calibri" w:hAnsi="Calibri" w:cs="Calibri"/>
                <w:b/>
                <w:bCs/>
                <w:i/>
                <w:iCs/>
                <w:lang w:val="en-GB"/>
              </w:rPr>
            </w:pPr>
          </w:p>
        </w:tc>
        <w:tc>
          <w:tcPr>
            <w:tcW w:w="4368" w:type="dxa"/>
          </w:tcPr>
          <w:p w14:paraId="0A5B1D21" w14:textId="77777777" w:rsidR="00FA67C2" w:rsidRPr="001A5CEE" w:rsidRDefault="00FA67C2" w:rsidP="00517497">
            <w:pPr>
              <w:jc w:val="both"/>
              <w:rPr>
                <w:rFonts w:ascii="Calibri" w:hAnsi="Calibri" w:cs="Calibri"/>
                <w:b/>
                <w:bCs/>
                <w:i/>
                <w:iCs/>
                <w:lang w:val="en-GB"/>
              </w:rPr>
            </w:pPr>
            <w:r w:rsidRPr="001A5CEE">
              <w:rPr>
                <w:rFonts w:ascii="Calibri" w:hAnsi="Calibri" w:cs="Calibri"/>
                <w:b/>
                <w:bCs/>
                <w:i/>
                <w:iCs/>
                <w:lang w:val="en-GB"/>
              </w:rPr>
              <w:t>Purpose of processing and nature of data provision</w:t>
            </w:r>
          </w:p>
        </w:tc>
        <w:tc>
          <w:tcPr>
            <w:tcW w:w="3039" w:type="dxa"/>
          </w:tcPr>
          <w:p w14:paraId="64792ADE" w14:textId="77777777" w:rsidR="00FA67C2" w:rsidRPr="001A5CEE" w:rsidRDefault="00FA67C2" w:rsidP="00517497">
            <w:pPr>
              <w:jc w:val="both"/>
              <w:rPr>
                <w:rFonts w:ascii="Calibri" w:hAnsi="Calibri" w:cs="Calibri"/>
                <w:b/>
                <w:bCs/>
                <w:i/>
                <w:iCs/>
                <w:lang w:val="en-GB"/>
              </w:rPr>
            </w:pPr>
            <w:r w:rsidRPr="001A5CEE">
              <w:rPr>
                <w:rFonts w:ascii="Calibri" w:hAnsi="Calibri" w:cs="Calibri"/>
                <w:b/>
                <w:bCs/>
                <w:i/>
                <w:iCs/>
                <w:lang w:val="en-GB"/>
              </w:rPr>
              <w:t xml:space="preserve">Legal basis </w:t>
            </w:r>
          </w:p>
        </w:tc>
        <w:tc>
          <w:tcPr>
            <w:tcW w:w="2106" w:type="dxa"/>
          </w:tcPr>
          <w:p w14:paraId="176E631D" w14:textId="77777777" w:rsidR="00FA67C2" w:rsidRPr="001A5CEE" w:rsidRDefault="00FA67C2" w:rsidP="00B81EE0">
            <w:pPr>
              <w:rPr>
                <w:rFonts w:ascii="Calibri" w:hAnsi="Calibri" w:cs="Calibri"/>
                <w:b/>
                <w:bCs/>
                <w:i/>
                <w:iCs/>
                <w:lang w:val="en-GB"/>
              </w:rPr>
            </w:pPr>
            <w:r w:rsidRPr="001A5CEE">
              <w:rPr>
                <w:rFonts w:ascii="Calibri" w:hAnsi="Calibri" w:cs="Calibri"/>
                <w:b/>
                <w:bCs/>
                <w:i/>
                <w:iCs/>
                <w:lang w:val="en-GB"/>
              </w:rPr>
              <w:t>Storage periods</w:t>
            </w:r>
          </w:p>
        </w:tc>
      </w:tr>
      <w:tr w:rsidR="00FA67C2" w:rsidRPr="0031692F" w14:paraId="681CA454" w14:textId="77777777" w:rsidTr="00B81EE0">
        <w:trPr>
          <w:jc w:val="center"/>
        </w:trPr>
        <w:tc>
          <w:tcPr>
            <w:tcW w:w="283" w:type="dxa"/>
            <w:vAlign w:val="center"/>
          </w:tcPr>
          <w:p w14:paraId="3A9E1231" w14:textId="77777777" w:rsidR="00FA67C2" w:rsidRPr="001A5CEE" w:rsidRDefault="00FA67C2" w:rsidP="00517497">
            <w:pPr>
              <w:jc w:val="center"/>
              <w:rPr>
                <w:rFonts w:ascii="Calibri" w:hAnsi="Calibri" w:cs="Calibri"/>
                <w:lang w:val="en-GB"/>
              </w:rPr>
            </w:pPr>
            <w:r w:rsidRPr="001A5CEE">
              <w:rPr>
                <w:rFonts w:ascii="Calibri" w:hAnsi="Calibri" w:cs="Calibri"/>
                <w:lang w:val="en-GB"/>
              </w:rPr>
              <w:t>1</w:t>
            </w:r>
          </w:p>
        </w:tc>
        <w:tc>
          <w:tcPr>
            <w:tcW w:w="4368" w:type="dxa"/>
          </w:tcPr>
          <w:p w14:paraId="5D2CBD23" w14:textId="77777777" w:rsidR="00FA67C2" w:rsidRPr="001A5CEE" w:rsidRDefault="00FA67C2" w:rsidP="00517497">
            <w:pPr>
              <w:jc w:val="both"/>
              <w:rPr>
                <w:rFonts w:ascii="Calibri" w:hAnsi="Calibri" w:cs="Calibri"/>
                <w:lang w:val="en-GB"/>
              </w:rPr>
            </w:pPr>
            <w:r w:rsidRPr="001A5CEE">
              <w:rPr>
                <w:rFonts w:ascii="Calibri" w:hAnsi="Calibri" w:cs="Calibri"/>
                <w:b/>
                <w:bCs/>
                <w:lang w:val="en-GB"/>
              </w:rPr>
              <w:t>Purpose of account creation and use:</w:t>
            </w:r>
          </w:p>
          <w:p w14:paraId="1860DD21" w14:textId="62BABDB5" w:rsidR="00FA67C2" w:rsidRPr="001A5CEE" w:rsidRDefault="00FA67C2" w:rsidP="00517497">
            <w:pPr>
              <w:jc w:val="both"/>
              <w:rPr>
                <w:rFonts w:ascii="Calibri" w:hAnsi="Calibri" w:cs="Calibri"/>
                <w:lang w:val="en-GB"/>
              </w:rPr>
            </w:pPr>
            <w:r w:rsidRPr="001A5CEE">
              <w:rPr>
                <w:rFonts w:ascii="Calibri" w:hAnsi="Calibri"/>
                <w:lang w:val="en-GB"/>
              </w:rPr>
              <w:t xml:space="preserve">the processing refers to the creation of an account </w:t>
            </w:r>
            <w:proofErr w:type="gramStart"/>
            <w:r w:rsidRPr="001A5CEE">
              <w:rPr>
                <w:rFonts w:ascii="Calibri" w:hAnsi="Calibri"/>
                <w:lang w:val="en-GB"/>
              </w:rPr>
              <w:t>in order to</w:t>
            </w:r>
            <w:proofErr w:type="gramEnd"/>
            <w:r w:rsidRPr="001A5CEE">
              <w:rPr>
                <w:rFonts w:ascii="Calibri" w:hAnsi="Calibri"/>
                <w:lang w:val="en-GB"/>
              </w:rPr>
              <w:t xml:space="preserve"> allow you to register on and access the </w:t>
            </w:r>
            <w:r w:rsidRPr="001A5CEE">
              <w:rPr>
                <w:color w:val="000000"/>
                <w:sz w:val="21"/>
                <w:szCs w:val="21"/>
                <w:lang w:val="en-GB"/>
              </w:rPr>
              <w:t>ASSET MANAGER WEB PLATFORM IT platform (hereinafter also referred to as the ''</w:t>
            </w:r>
            <w:r w:rsidRPr="001A5CEE">
              <w:rPr>
                <w:b/>
                <w:bCs/>
                <w:i/>
                <w:iCs/>
                <w:color w:val="000000"/>
                <w:sz w:val="21"/>
                <w:szCs w:val="21"/>
                <w:lang w:val="en-GB"/>
              </w:rPr>
              <w:t>Platform</w:t>
            </w:r>
            <w:r w:rsidRPr="001A5CEE">
              <w:rPr>
                <w:color w:val="000000"/>
                <w:sz w:val="21"/>
                <w:szCs w:val="21"/>
                <w:lang w:val="en-GB"/>
              </w:rPr>
              <w:t>'')</w:t>
            </w:r>
            <w:r w:rsidRPr="001A5CEE">
              <w:rPr>
                <w:rFonts w:ascii="Calibri" w:hAnsi="Calibri"/>
                <w:lang w:val="en-GB"/>
              </w:rPr>
              <w:t>.</w:t>
            </w:r>
          </w:p>
          <w:p w14:paraId="571006AA" w14:textId="58FA9041" w:rsidR="00FA67C2" w:rsidRPr="001A5CEE" w:rsidRDefault="00FA67C2" w:rsidP="00517497">
            <w:pPr>
              <w:jc w:val="both"/>
              <w:rPr>
                <w:rFonts w:ascii="Calibri" w:hAnsi="Calibri" w:cs="Calibri"/>
                <w:lang w:val="en-GB"/>
              </w:rPr>
            </w:pPr>
            <w:r w:rsidRPr="001A5CEE">
              <w:rPr>
                <w:rFonts w:ascii="Calibri" w:hAnsi="Calibri" w:cs="Calibri"/>
                <w:lang w:val="en-GB"/>
              </w:rPr>
              <w:t>This purpose also includes, for example, the option, in case you decide to register, to identify you and assist you in case you lose your access data (username or password), to set up your data protection choices, etc.</w:t>
            </w:r>
          </w:p>
          <w:p w14:paraId="1CDC9322" w14:textId="77777777" w:rsidR="00FA67C2" w:rsidRPr="001A5CEE" w:rsidRDefault="00FA67C2" w:rsidP="00517497">
            <w:pPr>
              <w:jc w:val="both"/>
              <w:rPr>
                <w:rFonts w:ascii="Calibri" w:hAnsi="Calibri" w:cs="Calibri"/>
                <w:lang w:val="en-GB"/>
              </w:rPr>
            </w:pPr>
          </w:p>
          <w:p w14:paraId="55053DFE" w14:textId="2DB61627" w:rsidR="00FA67C2" w:rsidRPr="001A5CEE" w:rsidRDefault="00FA67C2" w:rsidP="00517497">
            <w:pPr>
              <w:jc w:val="both"/>
              <w:rPr>
                <w:rFonts w:ascii="Calibri" w:hAnsi="Calibri" w:cs="Calibri"/>
                <w:lang w:val="en-GB"/>
              </w:rPr>
            </w:pPr>
            <w:r w:rsidRPr="001A5CEE">
              <w:rPr>
                <w:rFonts w:ascii="Calibri" w:hAnsi="Calibri" w:cs="Calibri"/>
                <w:lang w:val="en-GB"/>
              </w:rPr>
              <w:t>The provision of the Data is mandatory. Refusal to do so will inhibit access to the Platform.</w:t>
            </w:r>
          </w:p>
        </w:tc>
        <w:tc>
          <w:tcPr>
            <w:tcW w:w="3039" w:type="dxa"/>
          </w:tcPr>
          <w:p w14:paraId="45280D6B" w14:textId="64482C5C" w:rsidR="00FA67C2" w:rsidRPr="001A5CEE" w:rsidRDefault="00FA67C2" w:rsidP="00517497">
            <w:pPr>
              <w:jc w:val="both"/>
              <w:rPr>
                <w:rFonts w:ascii="Calibri" w:hAnsi="Calibri" w:cs="Calibri"/>
                <w:lang w:val="en-GB"/>
              </w:rPr>
            </w:pPr>
            <w:r w:rsidRPr="001A5CEE">
              <w:rPr>
                <w:rFonts w:ascii="Calibri" w:hAnsi="Calibri" w:cs="Calibri"/>
                <w:lang w:val="en-GB"/>
              </w:rPr>
              <w:t xml:space="preserve">- Taking steps at the request of the data subject prior to </w:t>
            </w:r>
            <w:proofErr w:type="gramStart"/>
            <w:r w:rsidRPr="001A5CEE">
              <w:rPr>
                <w:rFonts w:ascii="Calibri" w:hAnsi="Calibri" w:cs="Calibri"/>
                <w:lang w:val="en-GB"/>
              </w:rPr>
              <w:t>entering into</w:t>
            </w:r>
            <w:proofErr w:type="gramEnd"/>
            <w:r w:rsidRPr="001A5CEE">
              <w:rPr>
                <w:rFonts w:ascii="Calibri" w:hAnsi="Calibri" w:cs="Calibri"/>
                <w:lang w:val="en-GB"/>
              </w:rPr>
              <w:t xml:space="preserve"> a contract (Art. 6.1b GDPR)</w:t>
            </w:r>
          </w:p>
          <w:p w14:paraId="0240505E" w14:textId="77777777" w:rsidR="00212C23" w:rsidRPr="001A5CEE" w:rsidRDefault="00212C23" w:rsidP="00517497">
            <w:pPr>
              <w:jc w:val="both"/>
              <w:rPr>
                <w:rFonts w:ascii="Calibri" w:hAnsi="Calibri" w:cs="Calibri"/>
                <w:lang w:val="en-GB"/>
              </w:rPr>
            </w:pPr>
          </w:p>
          <w:p w14:paraId="6AB87474" w14:textId="77777777" w:rsidR="00212C23" w:rsidRPr="001A5CEE" w:rsidRDefault="00212C23" w:rsidP="00517497">
            <w:pPr>
              <w:jc w:val="both"/>
              <w:rPr>
                <w:rFonts w:ascii="Calibri" w:hAnsi="Calibri" w:cs="Calibri"/>
                <w:lang w:val="en-GB"/>
              </w:rPr>
            </w:pPr>
          </w:p>
          <w:p w14:paraId="2C979B0A" w14:textId="77777777" w:rsidR="00FA67C2" w:rsidRPr="001A5CEE" w:rsidRDefault="00FA67C2" w:rsidP="00517497">
            <w:pPr>
              <w:jc w:val="both"/>
              <w:rPr>
                <w:rFonts w:ascii="Calibri" w:hAnsi="Calibri" w:cs="Calibri"/>
                <w:lang w:val="en-GB"/>
              </w:rPr>
            </w:pPr>
          </w:p>
          <w:p w14:paraId="4F2387F4" w14:textId="77777777" w:rsidR="00FA67C2" w:rsidRPr="001A5CEE" w:rsidRDefault="00FA67C2" w:rsidP="00517497">
            <w:pPr>
              <w:jc w:val="both"/>
              <w:rPr>
                <w:rFonts w:ascii="Calibri" w:hAnsi="Calibri" w:cs="Calibri"/>
                <w:lang w:val="en-GB"/>
              </w:rPr>
            </w:pPr>
          </w:p>
        </w:tc>
        <w:tc>
          <w:tcPr>
            <w:tcW w:w="2106" w:type="dxa"/>
          </w:tcPr>
          <w:p w14:paraId="212373C2" w14:textId="77777777" w:rsidR="00FA67C2" w:rsidRPr="001A5CEE" w:rsidRDefault="00FA67C2" w:rsidP="00517497">
            <w:pPr>
              <w:jc w:val="both"/>
              <w:rPr>
                <w:rFonts w:ascii="Calibri" w:hAnsi="Calibri" w:cs="Calibri"/>
                <w:lang w:val="en-GB"/>
              </w:rPr>
            </w:pPr>
            <w:r w:rsidRPr="001A5CEE">
              <w:rPr>
                <w:rFonts w:ascii="Calibri" w:hAnsi="Calibri" w:cs="Calibri"/>
                <w:lang w:val="en-GB"/>
              </w:rPr>
              <w:t xml:space="preserve">For as long as your account is used, unless you request cancellation thereof. </w:t>
            </w:r>
          </w:p>
        </w:tc>
      </w:tr>
      <w:tr w:rsidR="00BE7A3D" w:rsidRPr="0031692F" w14:paraId="11ACE097" w14:textId="77777777" w:rsidTr="00B81EE0">
        <w:trPr>
          <w:jc w:val="center"/>
        </w:trPr>
        <w:tc>
          <w:tcPr>
            <w:tcW w:w="283" w:type="dxa"/>
            <w:vAlign w:val="center"/>
          </w:tcPr>
          <w:p w14:paraId="2B311F11" w14:textId="5D729C27" w:rsidR="00BE7A3D" w:rsidRPr="001A5CEE" w:rsidRDefault="004D2DE8" w:rsidP="00517497">
            <w:pPr>
              <w:jc w:val="center"/>
              <w:rPr>
                <w:rFonts w:ascii="Calibri" w:hAnsi="Calibri" w:cs="Calibri"/>
                <w:lang w:val="en-GB"/>
              </w:rPr>
            </w:pPr>
            <w:r>
              <w:rPr>
                <w:rFonts w:ascii="Calibri" w:hAnsi="Calibri" w:cs="Calibri"/>
                <w:lang w:val="en-GB"/>
              </w:rPr>
              <w:t>2</w:t>
            </w:r>
          </w:p>
        </w:tc>
        <w:tc>
          <w:tcPr>
            <w:tcW w:w="4368" w:type="dxa"/>
          </w:tcPr>
          <w:p w14:paraId="1BC29ADA" w14:textId="196697CA" w:rsidR="00BE7A3D" w:rsidRPr="00BE7A3D" w:rsidRDefault="00BE7A3D" w:rsidP="00BE7A3D">
            <w:pPr>
              <w:jc w:val="both"/>
              <w:rPr>
                <w:rFonts w:ascii="Calibri" w:hAnsi="Calibri" w:cs="Calibri"/>
                <w:b/>
                <w:bCs/>
                <w:lang w:val="en-GB"/>
              </w:rPr>
            </w:pPr>
            <w:r w:rsidRPr="00BE7A3D">
              <w:rPr>
                <w:rFonts w:ascii="Calibri" w:hAnsi="Calibri" w:cs="Calibri"/>
                <w:b/>
                <w:bCs/>
                <w:lang w:val="en-GB"/>
              </w:rPr>
              <w:t xml:space="preserve">Possible contact to enable you to participate in asset manager selection procedures on behalf of and/or for the benefit of the </w:t>
            </w:r>
            <w:r>
              <w:rPr>
                <w:rFonts w:ascii="Calibri" w:hAnsi="Calibri" w:cs="Calibri"/>
                <w:b/>
                <w:bCs/>
                <w:lang w:val="en-GB"/>
              </w:rPr>
              <w:t>Data Controller</w:t>
            </w:r>
            <w:r w:rsidRPr="00BE7A3D">
              <w:rPr>
                <w:rFonts w:ascii="Calibri" w:hAnsi="Calibri" w:cs="Calibri"/>
                <w:b/>
                <w:bCs/>
                <w:lang w:val="en-GB"/>
              </w:rPr>
              <w:t xml:space="preserve">'s clients (such as, for example, </w:t>
            </w:r>
            <w:r w:rsidRPr="0031692F">
              <w:rPr>
                <w:rFonts w:ascii="Calibri" w:hAnsi="Calibri" w:cs="Calibri"/>
                <w:b/>
                <w:bCs/>
                <w:lang w:val="en-GB"/>
              </w:rPr>
              <w:t xml:space="preserve">funds, </w:t>
            </w:r>
            <w:r w:rsidR="00A14D1B" w:rsidRPr="0031692F">
              <w:rPr>
                <w:rFonts w:ascii="Calibri" w:hAnsi="Calibri" w:cs="Calibri"/>
                <w:b/>
                <w:bCs/>
                <w:lang w:val="en-GB"/>
              </w:rPr>
              <w:t xml:space="preserve">accountants' fund </w:t>
            </w:r>
            <w:proofErr w:type="gramStart"/>
            <w:r w:rsidR="00A14D1B" w:rsidRPr="0031692F">
              <w:rPr>
                <w:rFonts w:ascii="Calibri" w:hAnsi="Calibri" w:cs="Calibri"/>
                <w:b/>
                <w:bCs/>
                <w:lang w:val="en-GB"/>
              </w:rPr>
              <w:t>…..</w:t>
            </w:r>
            <w:proofErr w:type="gramEnd"/>
            <w:r w:rsidR="00A14D1B">
              <w:rPr>
                <w:rFonts w:ascii="Calibri" w:hAnsi="Calibri" w:cs="Calibri"/>
                <w:b/>
                <w:bCs/>
                <w:lang w:val="en-GB"/>
              </w:rPr>
              <w:t xml:space="preserve"> and </w:t>
            </w:r>
            <w:proofErr w:type="gramStart"/>
            <w:r w:rsidR="00A14D1B">
              <w:rPr>
                <w:rFonts w:ascii="Calibri" w:hAnsi="Calibri" w:cs="Calibri"/>
                <w:b/>
                <w:bCs/>
                <w:lang w:val="en-GB"/>
              </w:rPr>
              <w:t>others</w:t>
            </w:r>
            <w:proofErr w:type="gramEnd"/>
            <w:r w:rsidR="00A14D1B">
              <w:rPr>
                <w:rFonts w:ascii="Calibri" w:hAnsi="Calibri" w:cs="Calibri"/>
                <w:b/>
                <w:bCs/>
                <w:lang w:val="en-GB"/>
              </w:rPr>
              <w:t xml:space="preserve"> </w:t>
            </w:r>
            <w:r>
              <w:rPr>
                <w:rFonts w:ascii="Calibri" w:hAnsi="Calibri" w:cs="Calibri"/>
                <w:b/>
                <w:bCs/>
                <w:lang w:val="en-GB"/>
              </w:rPr>
              <w:t xml:space="preserve">funds for </w:t>
            </w:r>
            <w:r w:rsidRPr="00BE7A3D">
              <w:rPr>
                <w:rFonts w:ascii="Calibri" w:hAnsi="Calibri" w:cs="Calibri"/>
                <w:b/>
                <w:bCs/>
                <w:lang w:val="en-GB"/>
              </w:rPr>
              <w:t>professional), where of your interest</w:t>
            </w:r>
            <w:r>
              <w:rPr>
                <w:rFonts w:ascii="Calibri" w:hAnsi="Calibri" w:cs="Calibri"/>
                <w:b/>
                <w:bCs/>
                <w:lang w:val="en-GB"/>
              </w:rPr>
              <w:t>.</w:t>
            </w:r>
          </w:p>
          <w:p w14:paraId="1681ABF1" w14:textId="13BB5180" w:rsidR="00BE7A3D" w:rsidRPr="001A5CEE" w:rsidRDefault="00BE7A3D" w:rsidP="00BE7A3D">
            <w:pPr>
              <w:jc w:val="both"/>
              <w:rPr>
                <w:rFonts w:ascii="Calibri" w:hAnsi="Calibri" w:cs="Calibri"/>
                <w:b/>
                <w:bCs/>
                <w:lang w:val="en-GB"/>
              </w:rPr>
            </w:pPr>
            <w:r w:rsidRPr="00BE7A3D">
              <w:rPr>
                <w:rFonts w:ascii="Calibri" w:hAnsi="Calibri" w:cs="Calibri"/>
                <w:b/>
                <w:bCs/>
                <w:lang w:val="en-GB"/>
              </w:rPr>
              <w:t xml:space="preserve">Your contact information may be used for this purpose strictly related to your registration and use of the Platform.  </w:t>
            </w:r>
          </w:p>
        </w:tc>
        <w:tc>
          <w:tcPr>
            <w:tcW w:w="3039" w:type="dxa"/>
          </w:tcPr>
          <w:p w14:paraId="07ADEB16" w14:textId="19BBBADF" w:rsidR="00BE7A3D" w:rsidRPr="001A5CEE" w:rsidRDefault="00BE7A3D" w:rsidP="00517497">
            <w:pPr>
              <w:jc w:val="both"/>
              <w:rPr>
                <w:rFonts w:ascii="Calibri" w:hAnsi="Calibri" w:cs="Calibri"/>
                <w:lang w:val="en-GB"/>
              </w:rPr>
            </w:pPr>
            <w:r w:rsidRPr="00BE7A3D">
              <w:rPr>
                <w:rFonts w:ascii="Calibri" w:hAnsi="Calibri" w:cs="Calibri"/>
                <w:lang w:val="en-GB"/>
              </w:rPr>
              <w:t xml:space="preserve">Execution of pre-contractual measures at the request of the data subject (Art. 6.1 </w:t>
            </w:r>
            <w:proofErr w:type="spellStart"/>
            <w:r w:rsidRPr="00BE7A3D">
              <w:rPr>
                <w:rFonts w:ascii="Calibri" w:hAnsi="Calibri" w:cs="Calibri"/>
                <w:lang w:val="en-GB"/>
              </w:rPr>
              <w:t>lett</w:t>
            </w:r>
            <w:proofErr w:type="spellEnd"/>
            <w:r w:rsidRPr="00BE7A3D">
              <w:rPr>
                <w:rFonts w:ascii="Calibri" w:hAnsi="Calibri" w:cs="Calibri"/>
                <w:lang w:val="en-GB"/>
              </w:rPr>
              <w:t>. b GDPR)</w:t>
            </w:r>
          </w:p>
        </w:tc>
        <w:tc>
          <w:tcPr>
            <w:tcW w:w="2106" w:type="dxa"/>
          </w:tcPr>
          <w:p w14:paraId="362056C0" w14:textId="41949204" w:rsidR="00BE7A3D" w:rsidRPr="001A5CEE" w:rsidRDefault="00BE7A3D" w:rsidP="00517497">
            <w:pPr>
              <w:jc w:val="both"/>
              <w:rPr>
                <w:rFonts w:ascii="Calibri" w:hAnsi="Calibri" w:cs="Calibri"/>
                <w:lang w:val="en-GB"/>
              </w:rPr>
            </w:pPr>
            <w:r w:rsidRPr="00BE7A3D">
              <w:rPr>
                <w:rFonts w:ascii="Calibri" w:hAnsi="Calibri" w:cs="Calibri"/>
                <w:lang w:val="en-GB"/>
              </w:rPr>
              <w:t xml:space="preserve">For the entire duration of </w:t>
            </w:r>
            <w:r>
              <w:rPr>
                <w:rFonts w:ascii="Calibri" w:hAnsi="Calibri" w:cs="Calibri"/>
                <w:lang w:val="en-GB"/>
              </w:rPr>
              <w:t>subscription to</w:t>
            </w:r>
            <w:r w:rsidRPr="00BE7A3D">
              <w:rPr>
                <w:rFonts w:ascii="Calibri" w:hAnsi="Calibri" w:cs="Calibri"/>
                <w:lang w:val="en-GB"/>
              </w:rPr>
              <w:t xml:space="preserve"> the Platform, unless your request to unsubscribe.</w:t>
            </w:r>
          </w:p>
        </w:tc>
      </w:tr>
      <w:tr w:rsidR="00FA67C2" w:rsidRPr="0031692F" w14:paraId="0FBED75A" w14:textId="77777777" w:rsidTr="00B81EE0">
        <w:trPr>
          <w:jc w:val="center"/>
        </w:trPr>
        <w:tc>
          <w:tcPr>
            <w:tcW w:w="283" w:type="dxa"/>
            <w:vAlign w:val="center"/>
          </w:tcPr>
          <w:p w14:paraId="451D3C25" w14:textId="6FB6E4D1" w:rsidR="00FA67C2" w:rsidRPr="001A5CEE" w:rsidRDefault="00BE7A3D" w:rsidP="00517497">
            <w:pPr>
              <w:jc w:val="center"/>
              <w:rPr>
                <w:rFonts w:ascii="Calibri" w:hAnsi="Calibri" w:cs="Calibri"/>
                <w:lang w:val="en-GB"/>
              </w:rPr>
            </w:pPr>
            <w:r>
              <w:rPr>
                <w:rFonts w:ascii="Calibri" w:hAnsi="Calibri" w:cs="Calibri"/>
                <w:lang w:val="en-GB"/>
              </w:rPr>
              <w:t>3</w:t>
            </w:r>
          </w:p>
        </w:tc>
        <w:tc>
          <w:tcPr>
            <w:tcW w:w="4368" w:type="dxa"/>
          </w:tcPr>
          <w:p w14:paraId="0D9930D6" w14:textId="6325A11F" w:rsidR="00FA67C2" w:rsidRPr="001A5CEE" w:rsidRDefault="00FA67C2" w:rsidP="00517497">
            <w:pPr>
              <w:jc w:val="both"/>
              <w:rPr>
                <w:rFonts w:ascii="Calibri" w:hAnsi="Calibri" w:cs="Calibri"/>
                <w:b/>
                <w:bCs/>
                <w:lang w:val="en-GB"/>
              </w:rPr>
            </w:pPr>
            <w:r w:rsidRPr="001A5CEE">
              <w:rPr>
                <w:rFonts w:ascii="Calibri" w:hAnsi="Calibri" w:cs="Calibri"/>
                <w:b/>
                <w:bCs/>
                <w:lang w:val="en-GB"/>
              </w:rPr>
              <w:t>Where applicable, to establish, exercise or defend legal claims of the Controller in court proceedings and/or in an out-of-court procedure.</w:t>
            </w:r>
          </w:p>
          <w:p w14:paraId="48F3299B" w14:textId="77777777" w:rsidR="00FA67C2" w:rsidRPr="001A5CEE" w:rsidRDefault="00FA67C2" w:rsidP="00517497">
            <w:pPr>
              <w:jc w:val="both"/>
              <w:rPr>
                <w:rFonts w:ascii="Calibri" w:hAnsi="Calibri" w:cs="Calibri"/>
                <w:lang w:val="en-GB"/>
              </w:rPr>
            </w:pPr>
          </w:p>
          <w:p w14:paraId="333990CA" w14:textId="4B0CC7D4" w:rsidR="00FA67C2" w:rsidRPr="001A5CEE" w:rsidRDefault="00FA67C2" w:rsidP="00BE7A3D">
            <w:pPr>
              <w:jc w:val="both"/>
              <w:rPr>
                <w:rFonts w:ascii="Calibri" w:hAnsi="Calibri" w:cs="Calibri"/>
                <w:b/>
                <w:bCs/>
                <w:lang w:val="en-GB"/>
              </w:rPr>
            </w:pPr>
            <w:r w:rsidRPr="001A5CEE">
              <w:rPr>
                <w:rFonts w:ascii="Calibri" w:hAnsi="Calibri" w:cs="Calibri"/>
                <w:lang w:val="en-GB"/>
              </w:rPr>
              <w:t xml:space="preserve">The provision of the Data is required. </w:t>
            </w:r>
          </w:p>
        </w:tc>
        <w:tc>
          <w:tcPr>
            <w:tcW w:w="3039" w:type="dxa"/>
          </w:tcPr>
          <w:p w14:paraId="42747644" w14:textId="40D0CF6E" w:rsidR="00FA67C2" w:rsidRPr="001A5CEE" w:rsidRDefault="001A5CEE" w:rsidP="00FA67C2">
            <w:pPr>
              <w:pStyle w:val="Paragrafoelenco"/>
              <w:numPr>
                <w:ilvl w:val="0"/>
                <w:numId w:val="4"/>
              </w:numPr>
              <w:ind w:left="138" w:hanging="138"/>
              <w:contextualSpacing w:val="0"/>
              <w:jc w:val="both"/>
              <w:rPr>
                <w:rFonts w:ascii="Calibri" w:hAnsi="Calibri" w:cs="Calibri"/>
                <w:lang w:val="en-GB"/>
              </w:rPr>
            </w:pPr>
            <w:r>
              <w:rPr>
                <w:rFonts w:ascii="Calibri" w:hAnsi="Calibri" w:cs="Calibri"/>
                <w:lang w:val="en-GB"/>
              </w:rPr>
              <w:t xml:space="preserve"> </w:t>
            </w:r>
            <w:r w:rsidR="00FA67C2" w:rsidRPr="001A5CEE">
              <w:rPr>
                <w:rFonts w:ascii="Calibri" w:hAnsi="Calibri" w:cs="Calibri"/>
                <w:lang w:val="en-GB"/>
              </w:rPr>
              <w:t>Legitimate interest (Art. 6.1</w:t>
            </w:r>
            <w:r>
              <w:rPr>
                <w:rFonts w:ascii="Calibri" w:hAnsi="Calibri" w:cs="Calibri"/>
                <w:lang w:val="en-GB"/>
              </w:rPr>
              <w:t>f</w:t>
            </w:r>
            <w:r w:rsidR="00FA67C2" w:rsidRPr="001A5CEE">
              <w:rPr>
                <w:rFonts w:ascii="Calibri" w:hAnsi="Calibri" w:cs="Calibri"/>
                <w:lang w:val="en-GB"/>
              </w:rPr>
              <w:t xml:space="preserve"> GDPR).</w:t>
            </w:r>
          </w:p>
        </w:tc>
        <w:tc>
          <w:tcPr>
            <w:tcW w:w="2106" w:type="dxa"/>
          </w:tcPr>
          <w:p w14:paraId="08E9E33A" w14:textId="77777777" w:rsidR="00FA67C2" w:rsidRPr="001A5CEE" w:rsidRDefault="00FA67C2" w:rsidP="00517497">
            <w:pPr>
              <w:jc w:val="both"/>
              <w:rPr>
                <w:rFonts w:ascii="Calibri" w:hAnsi="Calibri" w:cs="Calibri"/>
                <w:highlight w:val="yellow"/>
                <w:lang w:val="en-GB"/>
              </w:rPr>
            </w:pPr>
            <w:r w:rsidRPr="001A5CEE">
              <w:rPr>
                <w:rFonts w:ascii="Calibri" w:hAnsi="Calibri"/>
                <w:lang w:val="en-GB"/>
              </w:rPr>
              <w:t>For the entire duration</w:t>
            </w:r>
            <w:r w:rsidRPr="001A5CEE">
              <w:rPr>
                <w:lang w:val="en-GB"/>
              </w:rPr>
              <w:t xml:space="preserve"> of the court proceedings and/or out-of-court procedure, until expiry of the time limits for the legal </w:t>
            </w:r>
            <w:r w:rsidRPr="001A5CEE">
              <w:rPr>
                <w:lang w:val="en-GB"/>
              </w:rPr>
              <w:lastRenderedPageBreak/>
              <w:t>remedies and appeals</w:t>
            </w:r>
          </w:p>
        </w:tc>
      </w:tr>
    </w:tbl>
    <w:p w14:paraId="1F86BF89" w14:textId="77777777" w:rsidR="008A6021" w:rsidRPr="001A5CEE" w:rsidRDefault="008A6021" w:rsidP="00D407C5">
      <w:pPr>
        <w:jc w:val="both"/>
        <w:rPr>
          <w:rFonts w:eastAsia="Times New Roman" w:cstheme="minorHAnsi"/>
          <w:color w:val="000000"/>
          <w:sz w:val="21"/>
          <w:szCs w:val="21"/>
          <w:lang w:val="en-GB"/>
        </w:rPr>
      </w:pPr>
    </w:p>
    <w:p w14:paraId="399A8EC7" w14:textId="084A3FB9" w:rsidR="0065130D" w:rsidRPr="001A5CEE" w:rsidRDefault="00B81EE0" w:rsidP="00D407C5">
      <w:pPr>
        <w:jc w:val="both"/>
        <w:rPr>
          <w:rFonts w:eastAsia="Times New Roman" w:cstheme="minorHAnsi"/>
          <w:b/>
          <w:bCs/>
          <w:color w:val="000000"/>
          <w:sz w:val="21"/>
          <w:szCs w:val="21"/>
          <w:lang w:val="en-GB"/>
        </w:rPr>
      </w:pPr>
      <w:r w:rsidRPr="001A5CEE">
        <w:rPr>
          <w:rFonts w:eastAsia="Times New Roman" w:cstheme="minorHAnsi"/>
          <w:b/>
          <w:bCs/>
          <w:color w:val="000000"/>
          <w:sz w:val="21"/>
          <w:szCs w:val="21"/>
          <w:lang w:val="en-GB"/>
        </w:rPr>
        <w:t>2. Data processing methods</w:t>
      </w:r>
    </w:p>
    <w:p w14:paraId="36C6696C" w14:textId="4EACD91D" w:rsidR="00145091" w:rsidRPr="001A5CEE" w:rsidRDefault="0065130D" w:rsidP="00D407C5">
      <w:pPr>
        <w:jc w:val="both"/>
        <w:rPr>
          <w:rFonts w:eastAsia="Times New Roman" w:cstheme="minorHAnsi"/>
          <w:color w:val="000000"/>
          <w:sz w:val="21"/>
          <w:szCs w:val="21"/>
          <w:lang w:val="en-GB"/>
        </w:rPr>
      </w:pPr>
      <w:r w:rsidRPr="001A5CEE">
        <w:rPr>
          <w:rFonts w:eastAsia="Times New Roman" w:cstheme="minorHAnsi"/>
          <w:color w:val="000000"/>
          <w:sz w:val="21"/>
          <w:szCs w:val="21"/>
          <w:lang w:val="en-GB"/>
        </w:rPr>
        <w:t>Processing is carried out with the aid of electronic or, in any case, automated means and transmitted via online networks.</w:t>
      </w:r>
    </w:p>
    <w:p w14:paraId="79643BFC" w14:textId="58BD638D" w:rsidR="0065130D" w:rsidRPr="001A5CEE" w:rsidRDefault="0065130D" w:rsidP="00D407C5">
      <w:pPr>
        <w:jc w:val="both"/>
        <w:rPr>
          <w:rFonts w:eastAsia="Times New Roman" w:cstheme="minorHAnsi"/>
          <w:color w:val="000000"/>
          <w:sz w:val="21"/>
          <w:szCs w:val="21"/>
          <w:lang w:val="en-GB"/>
        </w:rPr>
      </w:pPr>
      <w:r w:rsidRPr="001A5CEE">
        <w:rPr>
          <w:rFonts w:eastAsia="Times New Roman" w:cstheme="minorHAnsi"/>
          <w:color w:val="000000"/>
          <w:sz w:val="21"/>
          <w:szCs w:val="21"/>
          <w:lang w:val="en-GB"/>
        </w:rPr>
        <w:t>The Data Controller shall take appropriate technical and organisational measures to ensure a level of security suited to the type of data being processed.</w:t>
      </w:r>
    </w:p>
    <w:p w14:paraId="155E2EA2" w14:textId="4CAF9E1E" w:rsidR="0065130D" w:rsidRPr="00AA069E" w:rsidRDefault="00B81EE0" w:rsidP="00D407C5">
      <w:pPr>
        <w:jc w:val="both"/>
        <w:rPr>
          <w:rFonts w:eastAsia="Times New Roman" w:cstheme="minorHAnsi"/>
          <w:b/>
          <w:bCs/>
          <w:color w:val="000000"/>
          <w:sz w:val="21"/>
          <w:szCs w:val="21"/>
        </w:rPr>
      </w:pPr>
      <w:r w:rsidRPr="00AA069E">
        <w:rPr>
          <w:rFonts w:eastAsia="Times New Roman" w:cstheme="minorHAnsi"/>
          <w:b/>
          <w:bCs/>
          <w:color w:val="000000"/>
          <w:sz w:val="21"/>
          <w:szCs w:val="21"/>
        </w:rPr>
        <w:t>3. Data Controller</w:t>
      </w:r>
    </w:p>
    <w:p w14:paraId="592FA889" w14:textId="675173AC" w:rsidR="0065130D" w:rsidRDefault="0065130D" w:rsidP="00D407C5">
      <w:pPr>
        <w:jc w:val="both"/>
        <w:rPr>
          <w:rFonts w:eastAsia="Times New Roman" w:cstheme="minorHAnsi"/>
          <w:color w:val="000000"/>
          <w:sz w:val="21"/>
          <w:szCs w:val="21"/>
        </w:rPr>
      </w:pPr>
      <w:r w:rsidRPr="00AA069E">
        <w:rPr>
          <w:rFonts w:eastAsia="Times New Roman" w:cstheme="minorHAnsi"/>
          <w:color w:val="000000"/>
          <w:sz w:val="21"/>
          <w:szCs w:val="21"/>
        </w:rPr>
        <w:t xml:space="preserve">Your Data Controller </w:t>
      </w:r>
      <w:proofErr w:type="spellStart"/>
      <w:r w:rsidRPr="00AA069E">
        <w:rPr>
          <w:rFonts w:eastAsia="Times New Roman" w:cstheme="minorHAnsi"/>
          <w:color w:val="000000"/>
          <w:sz w:val="21"/>
          <w:szCs w:val="21"/>
        </w:rPr>
        <w:t>is</w:t>
      </w:r>
      <w:proofErr w:type="spellEnd"/>
      <w:r w:rsidRPr="00AA069E">
        <w:rPr>
          <w:rFonts w:eastAsia="Times New Roman" w:cstheme="minorHAnsi"/>
          <w:color w:val="000000"/>
          <w:sz w:val="21"/>
          <w:szCs w:val="21"/>
        </w:rPr>
        <w:t xml:space="preserve"> Prometeia Advisor Sim S.p.A. - Piazza Trento e Trieste, 3 - 40137 Bologna - Tel.+39 051 6480911 - E-mail: </w:t>
      </w:r>
      <w:hyperlink r:id="rId11" w:history="1">
        <w:r w:rsidR="00320F82" w:rsidRPr="000214A7">
          <w:rPr>
            <w:rStyle w:val="Collegamentoipertestuale"/>
            <w:rFonts w:eastAsia="Times New Roman" w:cstheme="minorHAnsi"/>
            <w:sz w:val="21"/>
            <w:szCs w:val="21"/>
          </w:rPr>
          <w:t>info@prometeiaadvisor.com</w:t>
        </w:r>
      </w:hyperlink>
      <w:r w:rsidR="00320F82">
        <w:rPr>
          <w:rFonts w:eastAsia="Times New Roman" w:cstheme="minorHAnsi"/>
          <w:color w:val="000000"/>
          <w:sz w:val="21"/>
          <w:szCs w:val="21"/>
        </w:rPr>
        <w:t xml:space="preserve"> - </w:t>
      </w:r>
      <w:r w:rsidR="00320F82" w:rsidRPr="00320F82">
        <w:rPr>
          <w:rFonts w:eastAsia="Times New Roman" w:cstheme="minorHAnsi"/>
          <w:color w:val="000000"/>
          <w:sz w:val="21"/>
          <w:szCs w:val="21"/>
        </w:rPr>
        <w:t xml:space="preserve">PEC: </w:t>
      </w:r>
      <w:hyperlink r:id="rId12" w:history="1">
        <w:r w:rsidR="00985CF7" w:rsidRPr="005D055A">
          <w:rPr>
            <w:rStyle w:val="Collegamentoipertestuale"/>
            <w:rFonts w:eastAsia="Times New Roman" w:cstheme="minorHAnsi"/>
            <w:sz w:val="21"/>
            <w:szCs w:val="21"/>
          </w:rPr>
          <w:t>prometeiaadvisorsim@postecert.it</w:t>
        </w:r>
      </w:hyperlink>
    </w:p>
    <w:p w14:paraId="146165A4" w14:textId="425FD239" w:rsidR="0065130D" w:rsidRPr="001A5CEE" w:rsidRDefault="00B81EE0" w:rsidP="00D407C5">
      <w:pPr>
        <w:jc w:val="both"/>
        <w:rPr>
          <w:rFonts w:eastAsia="Times New Roman" w:cstheme="minorHAnsi"/>
          <w:b/>
          <w:bCs/>
          <w:color w:val="000000"/>
          <w:sz w:val="21"/>
          <w:szCs w:val="21"/>
          <w:lang w:val="en-GB"/>
        </w:rPr>
      </w:pPr>
      <w:r w:rsidRPr="001A5CEE">
        <w:rPr>
          <w:rFonts w:eastAsia="Times New Roman" w:cstheme="minorHAnsi"/>
          <w:b/>
          <w:bCs/>
          <w:color w:val="000000"/>
          <w:sz w:val="21"/>
          <w:szCs w:val="21"/>
          <w:lang w:val="en-GB"/>
        </w:rPr>
        <w:t xml:space="preserve">4. </w:t>
      </w:r>
      <w:bookmarkStart w:id="1" w:name="_Hlk41036196"/>
      <w:r w:rsidRPr="001A5CEE">
        <w:rPr>
          <w:rFonts w:eastAsia="Times New Roman" w:cstheme="minorHAnsi"/>
          <w:b/>
          <w:bCs/>
          <w:color w:val="000000"/>
          <w:sz w:val="21"/>
          <w:szCs w:val="21"/>
          <w:lang w:val="en-GB"/>
        </w:rPr>
        <w:t>Data Protection Officer (DPO)</w:t>
      </w:r>
      <w:bookmarkEnd w:id="1"/>
    </w:p>
    <w:p w14:paraId="53CA4B69" w14:textId="78E875FB" w:rsidR="00A510E7" w:rsidRDefault="0065130D" w:rsidP="00D407C5">
      <w:pPr>
        <w:jc w:val="both"/>
        <w:rPr>
          <w:rFonts w:eastAsia="Times New Roman" w:cstheme="minorHAnsi"/>
          <w:color w:val="000000"/>
          <w:sz w:val="21"/>
          <w:szCs w:val="21"/>
          <w:lang w:val="en-GB"/>
        </w:rPr>
      </w:pPr>
      <w:r w:rsidRPr="001A5CEE">
        <w:rPr>
          <w:rFonts w:eastAsia="Times New Roman" w:cstheme="minorHAnsi"/>
          <w:color w:val="000000"/>
          <w:sz w:val="21"/>
          <w:szCs w:val="21"/>
          <w:lang w:val="en-GB"/>
        </w:rPr>
        <w:t xml:space="preserve">The Data Protection Officer (DPO) can be contacted at the following e-mail address: </w:t>
      </w:r>
      <w:hyperlink r:id="rId13" w:history="1">
        <w:r w:rsidR="00A510E7" w:rsidRPr="00E147AB">
          <w:rPr>
            <w:rStyle w:val="Collegamentoipertestuale"/>
            <w:rFonts w:eastAsia="Times New Roman" w:cstheme="minorHAnsi"/>
            <w:sz w:val="21"/>
            <w:szCs w:val="21"/>
            <w:lang w:val="en-GB"/>
          </w:rPr>
          <w:t>privacy@prometeiaadvisor.com</w:t>
        </w:r>
      </w:hyperlink>
      <w:r w:rsidR="00A510E7">
        <w:rPr>
          <w:rFonts w:eastAsia="Times New Roman" w:cstheme="minorHAnsi"/>
          <w:color w:val="000000"/>
          <w:sz w:val="21"/>
          <w:szCs w:val="21"/>
          <w:lang w:val="en-GB"/>
        </w:rPr>
        <w:t>.</w:t>
      </w:r>
    </w:p>
    <w:p w14:paraId="4418B827" w14:textId="256180ED" w:rsidR="0065130D" w:rsidRPr="001A5CEE" w:rsidRDefault="00B81EE0" w:rsidP="00D407C5">
      <w:pPr>
        <w:jc w:val="both"/>
        <w:rPr>
          <w:rFonts w:eastAsia="Times New Roman" w:cstheme="minorHAnsi"/>
          <w:b/>
          <w:bCs/>
          <w:color w:val="000000"/>
          <w:sz w:val="21"/>
          <w:szCs w:val="21"/>
          <w:lang w:val="en-GB"/>
        </w:rPr>
      </w:pPr>
      <w:r w:rsidRPr="001A5CEE">
        <w:rPr>
          <w:rFonts w:eastAsia="Times New Roman" w:cstheme="minorHAnsi"/>
          <w:b/>
          <w:bCs/>
          <w:color w:val="000000"/>
          <w:sz w:val="21"/>
          <w:szCs w:val="21"/>
          <w:lang w:val="en-GB"/>
        </w:rPr>
        <w:t>5. Disclosure and dissemination of personal data</w:t>
      </w:r>
    </w:p>
    <w:p w14:paraId="42286197" w14:textId="49B0754B" w:rsidR="00D220EB" w:rsidRPr="001A5CEE" w:rsidRDefault="0065130D" w:rsidP="00D407C5">
      <w:pPr>
        <w:jc w:val="both"/>
        <w:rPr>
          <w:rFonts w:eastAsia="Times New Roman" w:cstheme="minorHAnsi"/>
          <w:color w:val="000000"/>
          <w:sz w:val="21"/>
          <w:szCs w:val="21"/>
          <w:lang w:val="en-GB"/>
        </w:rPr>
      </w:pPr>
      <w:r w:rsidRPr="001A5CEE">
        <w:rPr>
          <w:rFonts w:eastAsia="Times New Roman" w:cstheme="minorHAnsi"/>
          <w:color w:val="000000"/>
          <w:sz w:val="21"/>
          <w:szCs w:val="21"/>
          <w:lang w:val="en-GB"/>
        </w:rPr>
        <w:t xml:space="preserve">Your Data may be disclosed to third parties (e.g. suppliers), in their capacity as Data Processors appointed by the Data Controller, including, for example, </w:t>
      </w:r>
      <w:proofErr w:type="spellStart"/>
      <w:r w:rsidRPr="001A5CEE">
        <w:rPr>
          <w:rFonts w:eastAsia="Times New Roman" w:cstheme="minorHAnsi"/>
          <w:color w:val="000000"/>
          <w:sz w:val="21"/>
          <w:szCs w:val="21"/>
          <w:lang w:val="en-GB"/>
        </w:rPr>
        <w:t>Dedagroup</w:t>
      </w:r>
      <w:proofErr w:type="spellEnd"/>
      <w:r w:rsidRPr="001A5CEE">
        <w:rPr>
          <w:rFonts w:eastAsia="Times New Roman" w:cstheme="minorHAnsi"/>
          <w:color w:val="000000"/>
          <w:sz w:val="21"/>
          <w:szCs w:val="21"/>
          <w:lang w:val="en-GB"/>
        </w:rPr>
        <w:t xml:space="preserve"> Wiz SRL. </w:t>
      </w:r>
    </w:p>
    <w:p w14:paraId="454001D4" w14:textId="70525E2F" w:rsidR="00BE7A3D" w:rsidRPr="001A5CEE" w:rsidRDefault="00F4285C" w:rsidP="00D407C5">
      <w:pPr>
        <w:jc w:val="both"/>
        <w:rPr>
          <w:rFonts w:eastAsia="Times New Roman" w:cstheme="minorHAnsi"/>
          <w:color w:val="000000"/>
          <w:sz w:val="21"/>
          <w:szCs w:val="21"/>
          <w:lang w:val="en-GB"/>
        </w:rPr>
      </w:pPr>
      <w:r w:rsidRPr="001A5CEE">
        <w:rPr>
          <w:rFonts w:eastAsia="Times New Roman" w:cstheme="minorHAnsi"/>
          <w:color w:val="000000"/>
          <w:sz w:val="21"/>
          <w:szCs w:val="21"/>
          <w:lang w:val="en-GB"/>
        </w:rPr>
        <w:t>Your data may also be disclosed to third parties acting as independent Data Controllers who are entitled to access them by virtue of provisions of law, regulations or EU legislation (e.g. public authorities).</w:t>
      </w:r>
      <w:r w:rsidR="0041380F" w:rsidRPr="007E616F">
        <w:rPr>
          <w:lang w:val="en-US"/>
        </w:rPr>
        <w:t xml:space="preserve"> </w:t>
      </w:r>
      <w:r w:rsidR="0041380F" w:rsidRPr="0041380F">
        <w:rPr>
          <w:rFonts w:eastAsia="Times New Roman" w:cstheme="minorHAnsi"/>
          <w:color w:val="000000"/>
          <w:sz w:val="21"/>
          <w:szCs w:val="21"/>
          <w:lang w:val="en-GB"/>
        </w:rPr>
        <w:t xml:space="preserve">In the event of interest in participating in the selections on behalf of third parties (such as, for example, funds, </w:t>
      </w:r>
      <w:r w:rsidR="0041380F" w:rsidRPr="007E616F">
        <w:rPr>
          <w:rFonts w:eastAsia="Times New Roman" w:cstheme="minorHAnsi"/>
          <w:color w:val="000000"/>
          <w:sz w:val="21"/>
          <w:szCs w:val="21"/>
          <w:lang w:val="en-GB"/>
        </w:rPr>
        <w:t>funds for professiona</w:t>
      </w:r>
      <w:r w:rsidR="00A14D1B">
        <w:rPr>
          <w:rFonts w:eastAsia="Times New Roman" w:cstheme="minorHAnsi"/>
          <w:color w:val="000000"/>
          <w:sz w:val="21"/>
          <w:szCs w:val="21"/>
          <w:lang w:val="en-GB"/>
        </w:rPr>
        <w:t>l)</w:t>
      </w:r>
      <w:r w:rsidR="0041380F" w:rsidRPr="0041380F">
        <w:rPr>
          <w:rFonts w:eastAsia="Times New Roman" w:cstheme="minorHAnsi"/>
          <w:color w:val="000000"/>
          <w:sz w:val="21"/>
          <w:szCs w:val="21"/>
          <w:lang w:val="en-GB"/>
        </w:rPr>
        <w:t xml:space="preserve"> the third party acts as an independent data controller and, Prometeia Advisor Sim S.p.A, may act as data controller for the latter and collect on its behalf the documentation necessary for the purposes of the selection.</w:t>
      </w:r>
    </w:p>
    <w:p w14:paraId="035D90E8" w14:textId="4FB2B3D2" w:rsidR="0065130D" w:rsidRPr="001A5CEE" w:rsidRDefault="0065130D" w:rsidP="00D407C5">
      <w:pPr>
        <w:jc w:val="both"/>
        <w:rPr>
          <w:rFonts w:eastAsia="Times New Roman" w:cstheme="minorHAnsi"/>
          <w:color w:val="000000"/>
          <w:sz w:val="21"/>
          <w:szCs w:val="21"/>
          <w:lang w:val="en-GB"/>
        </w:rPr>
      </w:pPr>
      <w:r w:rsidRPr="001A5CEE">
        <w:rPr>
          <w:rFonts w:eastAsia="Times New Roman" w:cstheme="minorHAnsi"/>
          <w:color w:val="000000"/>
          <w:sz w:val="21"/>
          <w:szCs w:val="21"/>
          <w:lang w:val="en-GB"/>
        </w:rPr>
        <w:t>Your personal data will not be disseminated.</w:t>
      </w:r>
    </w:p>
    <w:p w14:paraId="6F56C3D0" w14:textId="7A37448D" w:rsidR="00E179E2" w:rsidRPr="001A5CEE" w:rsidRDefault="00B81EE0" w:rsidP="00E179E2">
      <w:pPr>
        <w:jc w:val="both"/>
        <w:rPr>
          <w:b/>
          <w:bCs/>
          <w:lang w:val="en-GB"/>
        </w:rPr>
      </w:pPr>
      <w:r w:rsidRPr="001A5CEE">
        <w:rPr>
          <w:b/>
          <w:bCs/>
          <w:color w:val="000000"/>
          <w:sz w:val="21"/>
          <w:szCs w:val="21"/>
          <w:lang w:val="en-GB"/>
        </w:rPr>
        <w:t xml:space="preserve">6. </w:t>
      </w:r>
      <w:r w:rsidRPr="001A5CEE">
        <w:rPr>
          <w:b/>
          <w:bCs/>
          <w:lang w:val="en-GB"/>
        </w:rPr>
        <w:t>Place of processing and transfer of data to non-EU countries</w:t>
      </w:r>
    </w:p>
    <w:p w14:paraId="718A5E1A" w14:textId="19371328" w:rsidR="006F0383" w:rsidRPr="001A5CEE" w:rsidRDefault="00E179E2" w:rsidP="00051452">
      <w:pPr>
        <w:jc w:val="both"/>
        <w:rPr>
          <w:rFonts w:eastAsia="Times New Roman" w:cstheme="minorHAnsi"/>
          <w:color w:val="000000"/>
          <w:sz w:val="21"/>
          <w:szCs w:val="21"/>
          <w:lang w:val="en-GB"/>
        </w:rPr>
      </w:pPr>
      <w:r w:rsidRPr="001A5CEE">
        <w:rPr>
          <w:rFonts w:eastAsia="Times New Roman" w:cstheme="minorHAnsi"/>
          <w:color w:val="000000"/>
          <w:sz w:val="21"/>
          <w:szCs w:val="21"/>
          <w:lang w:val="en-GB"/>
        </w:rPr>
        <w:t xml:space="preserve">Your personal data is managed and stored on servers located within the European Union of the Data Controller and/or of </w:t>
      </w:r>
      <w:proofErr w:type="gramStart"/>
      <w:r w:rsidRPr="001A5CEE">
        <w:rPr>
          <w:rFonts w:eastAsia="Times New Roman" w:cstheme="minorHAnsi"/>
          <w:color w:val="000000"/>
          <w:sz w:val="21"/>
          <w:szCs w:val="21"/>
          <w:lang w:val="en-GB"/>
        </w:rPr>
        <w:t>third party</w:t>
      </w:r>
      <w:proofErr w:type="gramEnd"/>
      <w:r w:rsidRPr="001A5CEE">
        <w:rPr>
          <w:rFonts w:eastAsia="Times New Roman" w:cstheme="minorHAnsi"/>
          <w:color w:val="000000"/>
          <w:sz w:val="21"/>
          <w:szCs w:val="21"/>
          <w:lang w:val="en-GB"/>
        </w:rPr>
        <w:t xml:space="preserve"> companies appointed by the latter and duly appointed as Data Processors. The Data will not be transferred outside the European Union or the European Economic Area ("EEA"). </w:t>
      </w:r>
    </w:p>
    <w:p w14:paraId="01E5504C" w14:textId="069141E2" w:rsidR="0065130D" w:rsidRPr="001A5CEE" w:rsidRDefault="00B81EE0" w:rsidP="00D407C5">
      <w:pPr>
        <w:jc w:val="both"/>
        <w:rPr>
          <w:rFonts w:eastAsia="Times New Roman" w:cstheme="minorHAnsi"/>
          <w:b/>
          <w:bCs/>
          <w:color w:val="000000"/>
          <w:sz w:val="21"/>
          <w:szCs w:val="21"/>
          <w:lang w:val="en-GB"/>
        </w:rPr>
      </w:pPr>
      <w:r w:rsidRPr="001A5CEE">
        <w:rPr>
          <w:rFonts w:eastAsia="Times New Roman" w:cstheme="minorHAnsi"/>
          <w:b/>
          <w:bCs/>
          <w:color w:val="000000"/>
          <w:sz w:val="21"/>
          <w:szCs w:val="21"/>
          <w:lang w:val="en-GB"/>
        </w:rPr>
        <w:t>7. Rights of the data subject</w:t>
      </w:r>
    </w:p>
    <w:p w14:paraId="59CC457B" w14:textId="70E69243" w:rsidR="00A12975" w:rsidRPr="001A5CEE" w:rsidRDefault="0065130D" w:rsidP="00D407C5">
      <w:pPr>
        <w:jc w:val="both"/>
        <w:rPr>
          <w:rFonts w:eastAsia="Times New Roman" w:cstheme="minorHAnsi"/>
          <w:color w:val="000000"/>
          <w:sz w:val="21"/>
          <w:szCs w:val="21"/>
          <w:lang w:val="en-GB"/>
        </w:rPr>
      </w:pPr>
      <w:r w:rsidRPr="001A5CEE">
        <w:rPr>
          <w:rFonts w:eastAsia="Times New Roman" w:cstheme="minorHAnsi"/>
          <w:color w:val="000000"/>
          <w:sz w:val="21"/>
          <w:szCs w:val="21"/>
          <w:lang w:val="en-GB"/>
        </w:rPr>
        <w:t>You may exercise your rights under Articles 15 to 22 of the GDPR, where applicable, with particular reference to the right of access to personal data, rectification, erasure, restriction of processing in the cases provided for by Article 18 GDPR, data portability, as well as the right to object to the processing in cases of legitimate interest of the Data Controller for reasons related to your specific situation.</w:t>
      </w:r>
    </w:p>
    <w:p w14:paraId="32B9B50A" w14:textId="12036970" w:rsidR="004F0DD6" w:rsidRPr="001A5CEE" w:rsidRDefault="00971611" w:rsidP="00D407C5">
      <w:pPr>
        <w:jc w:val="both"/>
        <w:rPr>
          <w:rFonts w:eastAsia="Times New Roman" w:cstheme="minorHAnsi"/>
          <w:color w:val="000000"/>
          <w:sz w:val="21"/>
          <w:szCs w:val="21"/>
          <w:lang w:val="en-GB"/>
        </w:rPr>
      </w:pPr>
      <w:r>
        <w:rPr>
          <w:rFonts w:eastAsia="Times New Roman" w:cstheme="minorHAnsi"/>
          <w:color w:val="000000"/>
          <w:sz w:val="21"/>
          <w:szCs w:val="21"/>
          <w:lang w:val="en-GB"/>
        </w:rPr>
        <w:t xml:space="preserve">You may address </w:t>
      </w:r>
      <w:r w:rsidR="0065130D" w:rsidRPr="001A5CEE">
        <w:rPr>
          <w:rFonts w:eastAsia="Times New Roman" w:cstheme="minorHAnsi"/>
          <w:color w:val="000000"/>
          <w:sz w:val="21"/>
          <w:szCs w:val="21"/>
          <w:lang w:val="en-GB"/>
        </w:rPr>
        <w:t xml:space="preserve">Your requests to exercise your rights to the e-mail address </w:t>
      </w:r>
      <w:hyperlink r:id="rId14" w:history="1">
        <w:r w:rsidRPr="009D497C">
          <w:rPr>
            <w:rStyle w:val="Collegamentoipertestuale"/>
            <w:rFonts w:eastAsia="Times New Roman" w:cstheme="minorHAnsi"/>
            <w:sz w:val="21"/>
            <w:szCs w:val="21"/>
            <w:lang w:val="en-GB"/>
          </w:rPr>
          <w:t>privacy@prometeiaadvisor.com</w:t>
        </w:r>
      </w:hyperlink>
      <w:r>
        <w:rPr>
          <w:rFonts w:eastAsia="Times New Roman" w:cstheme="minorHAnsi"/>
          <w:color w:val="000000"/>
          <w:sz w:val="21"/>
          <w:szCs w:val="21"/>
          <w:lang w:val="en-GB"/>
        </w:rPr>
        <w:t xml:space="preserve">, or </w:t>
      </w:r>
      <w:hyperlink r:id="rId15" w:history="1">
        <w:r w:rsidRPr="009D497C">
          <w:rPr>
            <w:rStyle w:val="Collegamentoipertestuale"/>
            <w:rFonts w:eastAsia="Times New Roman" w:cstheme="minorHAnsi"/>
            <w:sz w:val="21"/>
            <w:szCs w:val="21"/>
            <w:lang w:val="en-GB"/>
          </w:rPr>
          <w:t>info@prometeiaadvisor.com</w:t>
        </w:r>
      </w:hyperlink>
      <w:r>
        <w:rPr>
          <w:rFonts w:eastAsia="Times New Roman" w:cstheme="minorHAnsi"/>
          <w:color w:val="000000"/>
          <w:sz w:val="21"/>
          <w:szCs w:val="21"/>
          <w:lang w:val="en-GB"/>
        </w:rPr>
        <w:t>, or</w:t>
      </w:r>
      <w:r w:rsidRPr="00971611">
        <w:rPr>
          <w:rFonts w:eastAsia="Times New Roman" w:cstheme="minorHAnsi"/>
          <w:color w:val="000000"/>
          <w:sz w:val="21"/>
          <w:szCs w:val="21"/>
          <w:lang w:val="en-GB"/>
        </w:rPr>
        <w:t xml:space="preserve"> prometeiaadvisorsim@postecert.it</w:t>
      </w:r>
      <w:r w:rsidR="0065130D" w:rsidRPr="001A5CEE">
        <w:rPr>
          <w:rFonts w:eastAsia="Times New Roman" w:cstheme="minorHAnsi"/>
          <w:color w:val="000000"/>
          <w:sz w:val="21"/>
          <w:szCs w:val="21"/>
          <w:lang w:val="en-GB"/>
        </w:rPr>
        <w:t>.</w:t>
      </w:r>
    </w:p>
    <w:p w14:paraId="58DF6E20" w14:textId="79B0662C" w:rsidR="00390095" w:rsidRPr="001A5CEE" w:rsidRDefault="0065130D" w:rsidP="00D407C5">
      <w:pPr>
        <w:jc w:val="both"/>
        <w:rPr>
          <w:rFonts w:eastAsia="Times New Roman" w:cstheme="minorHAnsi"/>
          <w:color w:val="000000"/>
          <w:sz w:val="21"/>
          <w:szCs w:val="21"/>
          <w:lang w:val="en-GB"/>
        </w:rPr>
      </w:pPr>
      <w:r w:rsidRPr="001A5CEE">
        <w:rPr>
          <w:rFonts w:eastAsia="Times New Roman" w:cstheme="minorHAnsi"/>
          <w:color w:val="000000"/>
          <w:sz w:val="21"/>
          <w:szCs w:val="21"/>
          <w:lang w:val="en-GB"/>
        </w:rPr>
        <w:t>You also have the right to lodge a complaint with the competent Supervisory Authority.</w:t>
      </w:r>
    </w:p>
    <w:p w14:paraId="2581DFB5" w14:textId="6094C856" w:rsidR="00E179E2" w:rsidRPr="001A5CEE" w:rsidRDefault="00B81EE0" w:rsidP="00E179E2">
      <w:pPr>
        <w:jc w:val="both"/>
        <w:rPr>
          <w:b/>
          <w:bCs/>
          <w:lang w:val="en-GB"/>
        </w:rPr>
      </w:pPr>
      <w:r w:rsidRPr="001A5CEE">
        <w:rPr>
          <w:b/>
          <w:bCs/>
          <w:lang w:val="en-GB"/>
        </w:rPr>
        <w:t>8. Amendments</w:t>
      </w:r>
    </w:p>
    <w:p w14:paraId="026FDF60" w14:textId="70A492E4" w:rsidR="00E179E2" w:rsidRPr="001A5CEE" w:rsidRDefault="00E179E2" w:rsidP="00E179E2">
      <w:pPr>
        <w:jc w:val="both"/>
        <w:rPr>
          <w:rFonts w:eastAsia="Times New Roman" w:cstheme="minorHAnsi"/>
          <w:color w:val="000000"/>
          <w:sz w:val="21"/>
          <w:szCs w:val="21"/>
          <w:lang w:val="en-GB"/>
        </w:rPr>
      </w:pPr>
      <w:r w:rsidRPr="001A5CEE">
        <w:rPr>
          <w:rFonts w:eastAsia="Times New Roman" w:cstheme="minorHAnsi"/>
          <w:color w:val="000000"/>
          <w:sz w:val="21"/>
          <w:szCs w:val="21"/>
          <w:lang w:val="en-GB"/>
        </w:rPr>
        <w:t xml:space="preserve">This Privacy Policy, published on the website at </w:t>
      </w:r>
      <w:hyperlink r:id="rId16" w:history="1">
        <w:r w:rsidR="00AA069E" w:rsidRPr="00AA069E">
          <w:rPr>
            <w:rStyle w:val="Collegamentoipertestuale"/>
            <w:rFonts w:cstheme="minorHAnsi"/>
            <w:sz w:val="21"/>
            <w:szCs w:val="21"/>
            <w:shd w:val="clear" w:color="auto" w:fill="FFFFFF"/>
            <w:lang w:val="en-US"/>
          </w:rPr>
          <w:t>https://am.advisor.prometeia.net</w:t>
        </w:r>
      </w:hyperlink>
      <w:r w:rsidR="00AA069E" w:rsidRPr="00AA069E">
        <w:rPr>
          <w:rFonts w:ascii="Arial" w:hAnsi="Arial" w:cs="Arial"/>
          <w:color w:val="002E55"/>
          <w:sz w:val="30"/>
          <w:szCs w:val="30"/>
          <w:shd w:val="clear" w:color="auto" w:fill="FFFFFF"/>
          <w:lang w:val="en-US"/>
        </w:rPr>
        <w:t> </w:t>
      </w:r>
      <w:r w:rsidRPr="001A5CEE">
        <w:rPr>
          <w:rFonts w:eastAsia="Times New Roman" w:cstheme="minorHAnsi"/>
          <w:color w:val="000000"/>
          <w:sz w:val="21"/>
          <w:szCs w:val="21"/>
          <w:lang w:val="en-GB"/>
        </w:rPr>
        <w:t xml:space="preserve"> was updated on </w:t>
      </w:r>
      <w:r w:rsidR="0041380F">
        <w:rPr>
          <w:rFonts w:eastAsia="Times New Roman" w:cstheme="minorHAnsi"/>
          <w:color w:val="000000"/>
          <w:sz w:val="21"/>
          <w:szCs w:val="21"/>
          <w:lang w:val="en-GB"/>
        </w:rPr>
        <w:t>December</w:t>
      </w:r>
      <w:r w:rsidR="0041380F" w:rsidRPr="001A5CEE">
        <w:rPr>
          <w:rFonts w:eastAsia="Times New Roman" w:cstheme="minorHAnsi"/>
          <w:color w:val="000000"/>
          <w:sz w:val="21"/>
          <w:szCs w:val="21"/>
          <w:lang w:val="en-GB"/>
        </w:rPr>
        <w:t xml:space="preserve"> </w:t>
      </w:r>
      <w:r w:rsidRPr="001A5CEE">
        <w:rPr>
          <w:rFonts w:eastAsia="Times New Roman" w:cstheme="minorHAnsi"/>
          <w:color w:val="000000"/>
          <w:sz w:val="21"/>
          <w:szCs w:val="21"/>
          <w:lang w:val="en-GB"/>
        </w:rPr>
        <w:t>202</w:t>
      </w:r>
      <w:r w:rsidR="0041380F">
        <w:rPr>
          <w:rFonts w:eastAsia="Times New Roman" w:cstheme="minorHAnsi"/>
          <w:color w:val="000000"/>
          <w:sz w:val="21"/>
          <w:szCs w:val="21"/>
          <w:lang w:val="en-GB"/>
        </w:rPr>
        <w:t>4</w:t>
      </w:r>
      <w:r w:rsidRPr="001A5CEE">
        <w:rPr>
          <w:rFonts w:eastAsia="Times New Roman" w:cstheme="minorHAnsi"/>
          <w:color w:val="000000"/>
          <w:sz w:val="21"/>
          <w:szCs w:val="21"/>
          <w:lang w:val="en-GB"/>
        </w:rPr>
        <w:t xml:space="preserve"> and may be subject to amendments or further updates. Users are therefore invited to refer to the website </w:t>
      </w:r>
      <w:r w:rsidRPr="001A5CEE">
        <w:rPr>
          <w:rFonts w:eastAsia="Times New Roman" w:cstheme="minorHAnsi"/>
          <w:color w:val="000000"/>
          <w:sz w:val="21"/>
          <w:szCs w:val="21"/>
          <w:lang w:val="en-GB"/>
        </w:rPr>
        <w:lastRenderedPageBreak/>
        <w:t xml:space="preserve">periodically </w:t>
      </w:r>
      <w:proofErr w:type="gramStart"/>
      <w:r w:rsidRPr="001A5CEE">
        <w:rPr>
          <w:rFonts w:eastAsia="Times New Roman" w:cstheme="minorHAnsi"/>
          <w:color w:val="000000"/>
          <w:sz w:val="21"/>
          <w:szCs w:val="21"/>
          <w:lang w:val="en-GB"/>
        </w:rPr>
        <w:t>in order to</w:t>
      </w:r>
      <w:proofErr w:type="gramEnd"/>
      <w:r w:rsidRPr="001A5CEE">
        <w:rPr>
          <w:rFonts w:eastAsia="Times New Roman" w:cstheme="minorHAnsi"/>
          <w:color w:val="000000"/>
          <w:sz w:val="21"/>
          <w:szCs w:val="21"/>
          <w:lang w:val="en-GB"/>
        </w:rPr>
        <w:t xml:space="preserve"> keep abreast of the latest applicable Privacy Policy. The Data Subject may always request that the Data Controller deletes his/her personal data.</w:t>
      </w:r>
    </w:p>
    <w:p w14:paraId="556122FA" w14:textId="0A87A724" w:rsidR="00E179E2" w:rsidRPr="001A5CEE" w:rsidRDefault="00E179E2" w:rsidP="00D407C5">
      <w:pPr>
        <w:jc w:val="both"/>
        <w:rPr>
          <w:rFonts w:eastAsia="Times New Roman" w:cstheme="minorHAnsi"/>
          <w:color w:val="000000"/>
          <w:sz w:val="21"/>
          <w:szCs w:val="21"/>
          <w:lang w:val="en-GB"/>
        </w:rPr>
      </w:pPr>
    </w:p>
    <w:p w14:paraId="1123CD26" w14:textId="77777777" w:rsidR="00E179E2" w:rsidRPr="001A5CEE" w:rsidRDefault="00E179E2" w:rsidP="00D407C5">
      <w:pPr>
        <w:jc w:val="both"/>
        <w:rPr>
          <w:rFonts w:eastAsia="Times New Roman" w:cstheme="minorHAnsi"/>
          <w:color w:val="000000"/>
          <w:sz w:val="21"/>
          <w:szCs w:val="21"/>
          <w:lang w:val="en-GB"/>
        </w:rPr>
      </w:pPr>
    </w:p>
    <w:p w14:paraId="4DBC025B" w14:textId="26BEF9A6" w:rsidR="006B21EF" w:rsidRPr="001A5CEE" w:rsidRDefault="00A06758" w:rsidP="00A06758">
      <w:pPr>
        <w:jc w:val="center"/>
        <w:rPr>
          <w:rFonts w:eastAsia="Times New Roman" w:cstheme="minorHAnsi"/>
          <w:color w:val="000000"/>
          <w:sz w:val="21"/>
          <w:szCs w:val="21"/>
          <w:lang w:val="en-GB"/>
        </w:rPr>
      </w:pPr>
      <w:r w:rsidRPr="001A5CEE">
        <w:rPr>
          <w:rFonts w:eastAsia="Times New Roman" w:cstheme="minorHAnsi"/>
          <w:color w:val="000000"/>
          <w:sz w:val="21"/>
          <w:szCs w:val="21"/>
          <w:lang w:val="en-GB"/>
        </w:rPr>
        <w:t>***</w:t>
      </w:r>
    </w:p>
    <w:p w14:paraId="4BAF70E3" w14:textId="5885FF09" w:rsidR="00522787" w:rsidRPr="001A5CEE" w:rsidRDefault="00FE4EBC" w:rsidP="00522787">
      <w:pPr>
        <w:jc w:val="both"/>
        <w:rPr>
          <w:rFonts w:eastAsia="Times New Roman" w:cstheme="minorHAnsi"/>
          <w:color w:val="000000"/>
          <w:sz w:val="21"/>
          <w:szCs w:val="21"/>
          <w:lang w:val="en-GB"/>
        </w:rPr>
      </w:pPr>
      <w:r w:rsidRPr="001A5CEE">
        <w:rPr>
          <w:color w:val="000000"/>
          <w:sz w:val="21"/>
          <w:szCs w:val="21"/>
          <w:lang w:val="en-GB"/>
        </w:rPr>
        <w:t xml:space="preserve">I, the undersigned </w:t>
      </w:r>
      <w:r w:rsidRPr="001A5CEE">
        <w:rPr>
          <w:noProof/>
          <w:lang w:val="en-GB"/>
        </w:rPr>
        <w:drawing>
          <wp:inline distT="0" distB="0" distL="0" distR="0" wp14:anchorId="2FCD6DD4" wp14:editId="6A969443">
            <wp:extent cx="552450" cy="124460"/>
            <wp:effectExtent l="0" t="0" r="0" b="8890"/>
            <wp:docPr id="2" name="Immagine 2"/>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7"/>
                    <a:stretch>
                      <a:fillRect/>
                    </a:stretch>
                  </pic:blipFill>
                  <pic:spPr>
                    <a:xfrm>
                      <a:off x="0" y="0"/>
                      <a:ext cx="554710" cy="124969"/>
                    </a:xfrm>
                    <a:prstGeom prst="rect">
                      <a:avLst/>
                    </a:prstGeom>
                  </pic:spPr>
                </pic:pic>
              </a:graphicData>
            </a:graphic>
          </wp:inline>
        </w:drawing>
      </w:r>
      <w:r w:rsidRPr="001A5CEE">
        <w:rPr>
          <w:highlight w:val="yellow"/>
          <w:lang w:val="en-GB"/>
        </w:rPr>
        <w:t>[FIELD TO BE FILLED IN WITH THE NAME OF THE ASSET MANAGER OFFICER]</w:t>
      </w:r>
      <w:r w:rsidRPr="001A5CEE">
        <w:rPr>
          <w:color w:val="000000"/>
          <w:sz w:val="21"/>
          <w:szCs w:val="21"/>
          <w:lang w:val="en-GB"/>
        </w:rPr>
        <w:t xml:space="preserve"> declare that I have read the above Privacy Policy</w:t>
      </w:r>
    </w:p>
    <w:p w14:paraId="04B68DCA" w14:textId="10DB5020" w:rsidR="00A06758" w:rsidRPr="001A5CEE" w:rsidRDefault="00522787" w:rsidP="00185F22">
      <w:pPr>
        <w:pStyle w:val="Paragrafoelenco"/>
        <w:numPr>
          <w:ilvl w:val="0"/>
          <w:numId w:val="1"/>
        </w:numPr>
        <w:jc w:val="both"/>
        <w:rPr>
          <w:rFonts w:eastAsia="Times New Roman" w:cstheme="minorHAnsi"/>
          <w:color w:val="000000"/>
          <w:sz w:val="21"/>
          <w:szCs w:val="21"/>
          <w:highlight w:val="yellow"/>
          <w:lang w:val="en-GB"/>
        </w:rPr>
      </w:pPr>
      <w:r w:rsidRPr="001A5CEE">
        <w:rPr>
          <w:rFonts w:eastAsia="Times New Roman" w:cstheme="minorHAnsi"/>
          <w:color w:val="000000"/>
          <w:sz w:val="21"/>
          <w:szCs w:val="21"/>
          <w:highlight w:val="yellow"/>
          <w:lang w:val="en-GB"/>
        </w:rPr>
        <w:t>[FLAG REQUIRED TO CONTINUE]</w:t>
      </w:r>
      <w:r w:rsidRPr="001A5CEE">
        <w:rPr>
          <w:rFonts w:eastAsia="Times New Roman" w:cstheme="minorHAnsi"/>
          <w:color w:val="000000"/>
          <w:sz w:val="21"/>
          <w:szCs w:val="21"/>
          <w:lang w:val="en-GB"/>
        </w:rPr>
        <w:t xml:space="preserve">. </w:t>
      </w:r>
    </w:p>
    <w:sectPr w:rsidR="00A06758" w:rsidRPr="001A5CEE" w:rsidSect="00A04D73">
      <w:headerReference w:type="even" r:id="rId18"/>
      <w:headerReference w:type="default" r:id="rId19"/>
      <w:footerReference w:type="even" r:id="rId20"/>
      <w:footerReference w:type="default" r:id="rId21"/>
      <w:headerReference w:type="first" r:id="rId22"/>
      <w:footerReference w:type="first" r:id="rId23"/>
      <w:pgSz w:w="11906" w:h="16838"/>
      <w:pgMar w:top="1538" w:right="1134" w:bottom="1134" w:left="1134" w:header="851"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C1F3" w14:textId="77777777" w:rsidR="00B66F70" w:rsidRDefault="00B66F70" w:rsidP="003852D3">
      <w:pPr>
        <w:spacing w:after="0" w:line="240" w:lineRule="auto"/>
      </w:pPr>
      <w:r>
        <w:separator/>
      </w:r>
    </w:p>
  </w:endnote>
  <w:endnote w:type="continuationSeparator" w:id="0">
    <w:p w14:paraId="2D5697DC" w14:textId="77777777" w:rsidR="00B66F70" w:rsidRDefault="00B66F70" w:rsidP="003852D3">
      <w:pPr>
        <w:spacing w:after="0" w:line="240" w:lineRule="auto"/>
      </w:pPr>
      <w:r>
        <w:continuationSeparator/>
      </w:r>
    </w:p>
  </w:endnote>
  <w:endnote w:type="continuationNotice" w:id="1">
    <w:p w14:paraId="77F61EE1" w14:textId="77777777" w:rsidR="00B66F70" w:rsidRDefault="00B66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8A69" w14:textId="7A055883" w:rsidR="007C5206" w:rsidRDefault="007C5206">
    <w:pPr>
      <w:pStyle w:val="Pidipagina"/>
    </w:pPr>
    <w:r>
      <w:rPr>
        <w:noProof/>
      </w:rPr>
      <mc:AlternateContent>
        <mc:Choice Requires="wps">
          <w:drawing>
            <wp:anchor distT="0" distB="0" distL="0" distR="0" simplePos="0" relativeHeight="251665408" behindDoc="0" locked="0" layoutInCell="1" allowOverlap="1" wp14:anchorId="3A219213" wp14:editId="41464077">
              <wp:simplePos x="635" y="635"/>
              <wp:positionH relativeFrom="page">
                <wp:align>center</wp:align>
              </wp:positionH>
              <wp:positionV relativeFrom="page">
                <wp:align>bottom</wp:align>
              </wp:positionV>
              <wp:extent cx="443865" cy="443865"/>
              <wp:effectExtent l="0" t="0" r="17145" b="0"/>
              <wp:wrapNone/>
              <wp:docPr id="1068853550" name="Casella di testo 2" descr="Internal And Trusted Partner Use Only Document owned by Prometei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988FAE" w14:textId="16CCE36D" w:rsidR="007C5206" w:rsidRPr="00985CF7" w:rsidRDefault="007C5206" w:rsidP="007C5206">
                          <w:pPr>
                            <w:spacing w:after="0"/>
                            <w:rPr>
                              <w:rFonts w:ascii="Calibri" w:eastAsia="Calibri" w:hAnsi="Calibri" w:cs="Calibri"/>
                              <w:noProof/>
                              <w:color w:val="000000"/>
                              <w:sz w:val="20"/>
                              <w:szCs w:val="20"/>
                              <w:lang w:val="en-US"/>
                            </w:rPr>
                          </w:pPr>
                          <w:r w:rsidRPr="00985CF7">
                            <w:rPr>
                              <w:rFonts w:ascii="Calibri" w:eastAsia="Calibri" w:hAnsi="Calibri" w:cs="Calibri"/>
                              <w:noProof/>
                              <w:color w:val="000000"/>
                              <w:sz w:val="20"/>
                              <w:szCs w:val="20"/>
                              <w:lang w:val="en-US"/>
                            </w:rPr>
                            <w:t>Internal And Trusted Partner Use Only Document owned by Prometeia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19213" id="_x0000_t202" coordsize="21600,21600" o:spt="202" path="m,l,21600r21600,l21600,xe">
              <v:stroke joinstyle="miter"/>
              <v:path gradientshapeok="t" o:connecttype="rect"/>
            </v:shapetype>
            <v:shape id="Casella di testo 2" o:spid="_x0000_s1026" type="#_x0000_t202" alt="Internal And Trusted Partner Use Only Document owned by Prometeia"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B988FAE" w14:textId="16CCE36D" w:rsidR="007C5206" w:rsidRPr="00985CF7" w:rsidRDefault="007C5206" w:rsidP="007C5206">
                    <w:pPr>
                      <w:spacing w:after="0"/>
                      <w:rPr>
                        <w:rFonts w:ascii="Calibri" w:eastAsia="Calibri" w:hAnsi="Calibri" w:cs="Calibri"/>
                        <w:noProof/>
                        <w:color w:val="000000"/>
                        <w:sz w:val="20"/>
                        <w:szCs w:val="20"/>
                        <w:lang w:val="en-US"/>
                      </w:rPr>
                    </w:pPr>
                    <w:r w:rsidRPr="00985CF7">
                      <w:rPr>
                        <w:rFonts w:ascii="Calibri" w:eastAsia="Calibri" w:hAnsi="Calibri" w:cs="Calibri"/>
                        <w:noProof/>
                        <w:color w:val="000000"/>
                        <w:sz w:val="20"/>
                        <w:szCs w:val="20"/>
                        <w:lang w:val="en-US"/>
                      </w:rPr>
                      <w:t>Internal And Trusted Partner Use Only Document owned by Prometeia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F4E7" w14:textId="61C80980" w:rsidR="0026027A" w:rsidRPr="00B0572F" w:rsidRDefault="007C5206" w:rsidP="0026027A">
    <w:pPr>
      <w:pStyle w:val="Pidipagina"/>
      <w:jc w:val="center"/>
      <w:rPr>
        <w:sz w:val="18"/>
        <w:szCs w:val="18"/>
      </w:rPr>
    </w:pPr>
    <w:r>
      <w:rPr>
        <w:noProof/>
      </w:rPr>
      <mc:AlternateContent>
        <mc:Choice Requires="wps">
          <w:drawing>
            <wp:anchor distT="0" distB="0" distL="0" distR="0" simplePos="0" relativeHeight="251666432" behindDoc="0" locked="0" layoutInCell="1" allowOverlap="1" wp14:anchorId="5221646B" wp14:editId="6F24AE69">
              <wp:simplePos x="723900" y="10236200"/>
              <wp:positionH relativeFrom="page">
                <wp:align>center</wp:align>
              </wp:positionH>
              <wp:positionV relativeFrom="page">
                <wp:align>bottom</wp:align>
              </wp:positionV>
              <wp:extent cx="443865" cy="443865"/>
              <wp:effectExtent l="0" t="0" r="17145" b="0"/>
              <wp:wrapNone/>
              <wp:docPr id="1141755541" name="Casella di testo 3" descr="Internal And Trusted Partner Use Only Document owned by Prometei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534C0" w14:textId="0B859161" w:rsidR="007C5206" w:rsidRPr="00985CF7" w:rsidRDefault="007C5206" w:rsidP="007C5206">
                          <w:pPr>
                            <w:spacing w:after="0"/>
                            <w:rPr>
                              <w:rFonts w:ascii="Calibri" w:eastAsia="Calibri" w:hAnsi="Calibri" w:cs="Calibri"/>
                              <w:noProof/>
                              <w:color w:val="000000"/>
                              <w:sz w:val="20"/>
                              <w:szCs w:val="20"/>
                              <w:lang w:val="en-US"/>
                            </w:rPr>
                          </w:pPr>
                          <w:r w:rsidRPr="00985CF7">
                            <w:rPr>
                              <w:rFonts w:ascii="Calibri" w:eastAsia="Calibri" w:hAnsi="Calibri" w:cs="Calibri"/>
                              <w:noProof/>
                              <w:color w:val="000000"/>
                              <w:sz w:val="20"/>
                              <w:szCs w:val="20"/>
                              <w:lang w:val="en-US"/>
                            </w:rPr>
                            <w:t>Internal And Trusted Partner Use Only Document owned by Prometeia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1646B" id="_x0000_t202" coordsize="21600,21600" o:spt="202" path="m,l,21600r21600,l21600,xe">
              <v:stroke joinstyle="miter"/>
              <v:path gradientshapeok="t" o:connecttype="rect"/>
            </v:shapetype>
            <v:shape id="Casella di testo 3" o:spid="_x0000_s1027" type="#_x0000_t202" alt="Internal And Trusted Partner Use Only Document owned by Prometeia"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C534C0" w14:textId="0B859161" w:rsidR="007C5206" w:rsidRPr="00985CF7" w:rsidRDefault="007C5206" w:rsidP="007C5206">
                    <w:pPr>
                      <w:spacing w:after="0"/>
                      <w:rPr>
                        <w:rFonts w:ascii="Calibri" w:eastAsia="Calibri" w:hAnsi="Calibri" w:cs="Calibri"/>
                        <w:noProof/>
                        <w:color w:val="000000"/>
                        <w:sz w:val="20"/>
                        <w:szCs w:val="20"/>
                        <w:lang w:val="en-US"/>
                      </w:rPr>
                    </w:pPr>
                    <w:r w:rsidRPr="00985CF7">
                      <w:rPr>
                        <w:rFonts w:ascii="Calibri" w:eastAsia="Calibri" w:hAnsi="Calibri" w:cs="Calibri"/>
                        <w:noProof/>
                        <w:color w:val="000000"/>
                        <w:sz w:val="20"/>
                        <w:szCs w:val="20"/>
                        <w:lang w:val="en-US"/>
                      </w:rPr>
                      <w:t>Internal And Trusted Partner Use Only Document owned by Prometeia</w:t>
                    </w:r>
                  </w:p>
                </w:txbxContent>
              </v:textbox>
              <w10:wrap anchorx="page" anchory="page"/>
            </v:shape>
          </w:pict>
        </mc:Fallback>
      </mc:AlternateContent>
    </w:r>
    <w:sdt>
      <w:sdtPr>
        <w:id w:val="-531337128"/>
        <w:docPartObj>
          <w:docPartGallery w:val="Page Numbers (Bottom of Page)"/>
          <w:docPartUnique/>
        </w:docPartObj>
      </w:sdtPr>
      <w:sdtEndPr>
        <w:rPr>
          <w:sz w:val="18"/>
          <w:szCs w:val="18"/>
        </w:rPr>
      </w:sdtEndPr>
      <w:sdtContent>
        <w:r w:rsidR="0026027A">
          <w:rPr>
            <w:sz w:val="18"/>
            <w:szCs w:val="18"/>
            <w:lang w:val="en-GB"/>
          </w:rPr>
          <w:fldChar w:fldCharType="begin"/>
        </w:r>
        <w:r w:rsidR="0026027A">
          <w:rPr>
            <w:sz w:val="18"/>
            <w:szCs w:val="18"/>
            <w:lang w:val="en-GB"/>
          </w:rPr>
          <w:instrText>PAGE   \* MERGEFORMAT</w:instrText>
        </w:r>
        <w:r w:rsidR="0026027A">
          <w:rPr>
            <w:sz w:val="18"/>
            <w:szCs w:val="18"/>
            <w:lang w:val="en-GB"/>
          </w:rPr>
          <w:fldChar w:fldCharType="separate"/>
        </w:r>
        <w:r w:rsidR="0026027A">
          <w:rPr>
            <w:sz w:val="18"/>
            <w:szCs w:val="18"/>
            <w:lang w:val="en-GB"/>
          </w:rPr>
          <w:t>2</w:t>
        </w:r>
        <w:r w:rsidR="0026027A">
          <w:rPr>
            <w:sz w:val="18"/>
            <w:szCs w:val="18"/>
            <w:lang w:val="en-GB"/>
          </w:rPr>
          <w:fldChar w:fldCharType="end"/>
        </w:r>
      </w:sdtContent>
    </w:sdt>
  </w:p>
  <w:p w14:paraId="0EB0F8E6" w14:textId="77777777" w:rsidR="0026027A" w:rsidRDefault="0026027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BAE6" w14:textId="5297A5E2" w:rsidR="00B860D6" w:rsidRPr="00E3628D" w:rsidRDefault="007C5206" w:rsidP="00B860D6">
    <w:pPr>
      <w:pStyle w:val="Pidipagina"/>
      <w:spacing w:before="40" w:line="180" w:lineRule="exact"/>
      <w:ind w:left="3540"/>
      <w:rPr>
        <w:b/>
        <w:color w:val="194691"/>
        <w:sz w:val="14"/>
      </w:rPr>
    </w:pPr>
    <w:r>
      <w:rPr>
        <w:b/>
        <w:bCs/>
        <w:noProof/>
        <w:color w:val="194691"/>
        <w:sz w:val="14"/>
      </w:rPr>
      <mc:AlternateContent>
        <mc:Choice Requires="wps">
          <w:drawing>
            <wp:anchor distT="0" distB="0" distL="0" distR="0" simplePos="0" relativeHeight="251664384" behindDoc="0" locked="0" layoutInCell="1" allowOverlap="1" wp14:anchorId="1EC3C2AE" wp14:editId="35AC2C88">
              <wp:simplePos x="723900" y="8915400"/>
              <wp:positionH relativeFrom="page">
                <wp:align>center</wp:align>
              </wp:positionH>
              <wp:positionV relativeFrom="page">
                <wp:align>bottom</wp:align>
              </wp:positionV>
              <wp:extent cx="443865" cy="443865"/>
              <wp:effectExtent l="0" t="0" r="17145" b="0"/>
              <wp:wrapNone/>
              <wp:docPr id="893070374" name="Casella di testo 1" descr="Internal And Trusted Partner Use Only Document owned by Prometei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7A2E7" w14:textId="4C2155CD" w:rsidR="007C5206" w:rsidRPr="00A510E7" w:rsidRDefault="007C5206" w:rsidP="007C5206">
                          <w:pPr>
                            <w:spacing w:after="0"/>
                            <w:rPr>
                              <w:rFonts w:ascii="Calibri" w:eastAsia="Calibri" w:hAnsi="Calibri" w:cs="Calibri"/>
                              <w:noProof/>
                              <w:color w:val="000000"/>
                              <w:sz w:val="20"/>
                              <w:szCs w:val="20"/>
                              <w:lang w:val="en-US"/>
                            </w:rPr>
                          </w:pPr>
                          <w:r w:rsidRPr="00A510E7">
                            <w:rPr>
                              <w:rFonts w:ascii="Calibri" w:eastAsia="Calibri" w:hAnsi="Calibri" w:cs="Calibri"/>
                              <w:noProof/>
                              <w:color w:val="000000"/>
                              <w:sz w:val="20"/>
                              <w:szCs w:val="20"/>
                              <w:lang w:val="en-US"/>
                            </w:rPr>
                            <w:t>Internal And Trusted Partner Use Only Document owned by Prometeia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3C2AE" id="_x0000_t202" coordsize="21600,21600" o:spt="202" path="m,l,21600r21600,l21600,xe">
              <v:stroke joinstyle="miter"/>
              <v:path gradientshapeok="t" o:connecttype="rect"/>
            </v:shapetype>
            <v:shape id="Casella di testo 1" o:spid="_x0000_s1028" type="#_x0000_t202" alt="Internal And Trusted Partner Use Only Document owned by Prometeia"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AA7A2E7" w14:textId="4C2155CD" w:rsidR="007C5206" w:rsidRPr="00A510E7" w:rsidRDefault="007C5206" w:rsidP="007C5206">
                    <w:pPr>
                      <w:spacing w:after="0"/>
                      <w:rPr>
                        <w:rFonts w:ascii="Calibri" w:eastAsia="Calibri" w:hAnsi="Calibri" w:cs="Calibri"/>
                        <w:noProof/>
                        <w:color w:val="000000"/>
                        <w:sz w:val="20"/>
                        <w:szCs w:val="20"/>
                        <w:lang w:val="en-US"/>
                      </w:rPr>
                    </w:pPr>
                    <w:r w:rsidRPr="00A510E7">
                      <w:rPr>
                        <w:rFonts w:ascii="Calibri" w:eastAsia="Calibri" w:hAnsi="Calibri" w:cs="Calibri"/>
                        <w:noProof/>
                        <w:color w:val="000000"/>
                        <w:sz w:val="20"/>
                        <w:szCs w:val="20"/>
                        <w:lang w:val="en-US"/>
                      </w:rPr>
                      <w:t>Internal And Trusted Partner Use Only Document owned by Prometeia</w:t>
                    </w:r>
                  </w:p>
                </w:txbxContent>
              </v:textbox>
              <w10:wrap anchorx="page" anchory="page"/>
            </v:shape>
          </w:pict>
        </mc:Fallback>
      </mc:AlternateContent>
    </w:r>
    <w:r w:rsidR="00B860D6" w:rsidRPr="001A5CEE">
      <w:rPr>
        <w:b/>
        <w:bCs/>
        <w:color w:val="194691"/>
        <w:sz w:val="14"/>
      </w:rPr>
      <w:t xml:space="preserve">  Prometeia Advisor Sim Spa</w:t>
    </w:r>
  </w:p>
  <w:p w14:paraId="6627D861" w14:textId="77777777" w:rsidR="00B860D6" w:rsidRPr="00E3628D" w:rsidRDefault="00B860D6" w:rsidP="00B860D6">
    <w:pPr>
      <w:pStyle w:val="Pidipagina"/>
      <w:spacing w:before="40" w:line="180" w:lineRule="exact"/>
      <w:ind w:left="3540"/>
      <w:rPr>
        <w:color w:val="194691"/>
        <w:sz w:val="14"/>
      </w:rPr>
    </w:pPr>
    <w:r>
      <w:rPr>
        <w:noProof/>
        <w:lang w:val="en-GB"/>
      </w:rPr>
      <w:drawing>
        <wp:anchor distT="0" distB="0" distL="114300" distR="114300" simplePos="0" relativeHeight="251663360" behindDoc="1" locked="0" layoutInCell="1" allowOverlap="1" wp14:anchorId="757CF691" wp14:editId="560C1E92">
          <wp:simplePos x="0" y="0"/>
          <wp:positionH relativeFrom="margin">
            <wp:align>right</wp:align>
          </wp:positionH>
          <wp:positionV relativeFrom="paragraph">
            <wp:posOffset>132715</wp:posOffset>
          </wp:positionV>
          <wp:extent cx="769620" cy="769620"/>
          <wp:effectExtent l="0" t="0" r="0" b="0"/>
          <wp:wrapTight wrapText="bothSides">
            <wp:wrapPolygon edited="0">
              <wp:start x="5881" y="0"/>
              <wp:lineTo x="0" y="3743"/>
              <wp:lineTo x="0" y="14436"/>
              <wp:lineTo x="1069" y="17644"/>
              <wp:lineTo x="5347" y="20851"/>
              <wp:lineTo x="5881" y="20851"/>
              <wp:lineTo x="14970" y="20851"/>
              <wp:lineTo x="17644" y="20851"/>
              <wp:lineTo x="20317" y="18713"/>
              <wp:lineTo x="20851" y="14436"/>
              <wp:lineTo x="20851" y="3743"/>
              <wp:lineTo x="14970" y="0"/>
              <wp:lineTo x="5881" y="0"/>
            </wp:wrapPolygon>
          </wp:wrapTight>
          <wp:docPr id="168030528" name="Immagine 168030528" descr="Immagine che contiene freccia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frecci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5CEE">
      <w:rPr>
        <w:b/>
        <w:bCs/>
        <w:color w:val="194691"/>
        <w:sz w:val="14"/>
      </w:rPr>
      <w:t xml:space="preserve">  </w:t>
    </w:r>
    <w:r w:rsidRPr="001A5CEE">
      <w:rPr>
        <w:color w:val="194691"/>
        <w:sz w:val="14"/>
      </w:rPr>
      <w:t xml:space="preserve">Socio unico, cap. </w:t>
    </w:r>
    <w:proofErr w:type="spellStart"/>
    <w:r w:rsidRPr="001A5CEE">
      <w:rPr>
        <w:color w:val="194691"/>
        <w:sz w:val="14"/>
      </w:rPr>
      <w:t>soc</w:t>
    </w:r>
    <w:proofErr w:type="spellEnd"/>
    <w:r w:rsidRPr="001A5CEE">
      <w:rPr>
        <w:color w:val="194691"/>
        <w:sz w:val="14"/>
      </w:rPr>
      <w:t xml:space="preserve">. € 800.000 </w:t>
    </w:r>
    <w:proofErr w:type="spellStart"/>
    <w:r w:rsidRPr="001A5CEE">
      <w:rPr>
        <w:color w:val="194691"/>
        <w:sz w:val="14"/>
      </w:rPr>
      <w:t>i.v</w:t>
    </w:r>
    <w:proofErr w:type="spellEnd"/>
    <w:r w:rsidRPr="001A5CEE">
      <w:rPr>
        <w:color w:val="194691"/>
        <w:sz w:val="14"/>
      </w:rPr>
      <w:t>.</w:t>
    </w:r>
  </w:p>
  <w:p w14:paraId="21A4DE60" w14:textId="77777777" w:rsidR="00B860D6" w:rsidRPr="00E3628D" w:rsidRDefault="00B860D6" w:rsidP="00B860D6">
    <w:pPr>
      <w:pStyle w:val="Pidipagina"/>
      <w:spacing w:before="40" w:line="180" w:lineRule="exact"/>
      <w:ind w:left="3540"/>
      <w:rPr>
        <w:color w:val="194691"/>
        <w:sz w:val="14"/>
      </w:rPr>
    </w:pPr>
    <w:r w:rsidRPr="001A5CEE">
      <w:rPr>
        <w:b/>
        <w:bCs/>
        <w:color w:val="194691"/>
        <w:sz w:val="14"/>
      </w:rPr>
      <w:t xml:space="preserve">  </w:t>
    </w:r>
    <w:r w:rsidRPr="001A5CEE">
      <w:rPr>
        <w:color w:val="194691"/>
        <w:sz w:val="14"/>
      </w:rPr>
      <w:t>Società soggetta a direzione e coordinamento</w:t>
    </w:r>
  </w:p>
  <w:p w14:paraId="4CF3DA3F" w14:textId="77777777" w:rsidR="00B860D6" w:rsidRPr="00E3628D" w:rsidRDefault="00B860D6" w:rsidP="00B860D6">
    <w:pPr>
      <w:pStyle w:val="Pidipagina"/>
      <w:spacing w:before="40" w:line="180" w:lineRule="exact"/>
      <w:ind w:left="3540"/>
      <w:rPr>
        <w:color w:val="194691"/>
        <w:sz w:val="14"/>
      </w:rPr>
    </w:pPr>
    <w:r w:rsidRPr="001A5CEE">
      <w:rPr>
        <w:b/>
        <w:bCs/>
        <w:color w:val="194691"/>
        <w:sz w:val="14"/>
      </w:rPr>
      <w:t xml:space="preserve">  </w:t>
    </w:r>
    <w:r w:rsidRPr="001A5CEE">
      <w:rPr>
        <w:color w:val="194691"/>
        <w:sz w:val="14"/>
      </w:rPr>
      <w:t>da parte di Prometeia Spa, ex art. 2497-bis cod. civ.</w:t>
    </w:r>
  </w:p>
  <w:p w14:paraId="420886C4" w14:textId="77777777" w:rsidR="00B860D6" w:rsidRPr="00E3628D" w:rsidRDefault="00B860D6" w:rsidP="00B860D6">
    <w:pPr>
      <w:pStyle w:val="Pidipagina"/>
      <w:spacing w:before="40" w:line="180" w:lineRule="exact"/>
      <w:ind w:left="3540"/>
      <w:rPr>
        <w:color w:val="194691"/>
        <w:sz w:val="14"/>
      </w:rPr>
    </w:pPr>
    <w:r w:rsidRPr="001A5CEE">
      <w:rPr>
        <w:b/>
        <w:bCs/>
        <w:color w:val="194691"/>
        <w:sz w:val="14"/>
      </w:rPr>
      <w:t xml:space="preserve">  </w:t>
    </w:r>
    <w:proofErr w:type="spellStart"/>
    <w:r w:rsidRPr="001A5CEE">
      <w:rPr>
        <w:color w:val="194691"/>
        <w:sz w:val="14"/>
      </w:rPr>
      <w:t>iscr</w:t>
    </w:r>
    <w:proofErr w:type="spellEnd"/>
    <w:r w:rsidRPr="001A5CEE">
      <w:rPr>
        <w:color w:val="194691"/>
        <w:sz w:val="14"/>
      </w:rPr>
      <w:t xml:space="preserve">. albo </w:t>
    </w:r>
    <w:proofErr w:type="spellStart"/>
    <w:r w:rsidRPr="001A5CEE">
      <w:rPr>
        <w:color w:val="194691"/>
        <w:sz w:val="14"/>
      </w:rPr>
      <w:t>sim</w:t>
    </w:r>
    <w:proofErr w:type="spellEnd"/>
    <w:r w:rsidRPr="001A5CEE">
      <w:rPr>
        <w:color w:val="194691"/>
        <w:sz w:val="14"/>
      </w:rPr>
      <w:t xml:space="preserve"> 230, </w:t>
    </w:r>
    <w:proofErr w:type="spellStart"/>
    <w:r w:rsidRPr="001A5CEE">
      <w:rPr>
        <w:color w:val="194691"/>
        <w:sz w:val="14"/>
      </w:rPr>
      <w:t>iscr</w:t>
    </w:r>
    <w:proofErr w:type="spellEnd"/>
    <w:r w:rsidRPr="001A5CEE">
      <w:rPr>
        <w:color w:val="194691"/>
        <w:sz w:val="14"/>
      </w:rPr>
      <w:t xml:space="preserve">. Fondo Naz. Garanzia cod. </w:t>
    </w:r>
    <w:proofErr w:type="spellStart"/>
    <w:r w:rsidRPr="001A5CEE">
      <w:rPr>
        <w:color w:val="194691"/>
        <w:sz w:val="14"/>
      </w:rPr>
      <w:t>sim</w:t>
    </w:r>
    <w:proofErr w:type="spellEnd"/>
    <w:r w:rsidRPr="001A5CEE">
      <w:rPr>
        <w:color w:val="194691"/>
        <w:sz w:val="14"/>
      </w:rPr>
      <w:t xml:space="preserve"> 0372</w:t>
    </w:r>
  </w:p>
  <w:p w14:paraId="5C26EBE9" w14:textId="77777777" w:rsidR="00B860D6" w:rsidRPr="00E3628D" w:rsidRDefault="00B860D6" w:rsidP="00B860D6">
    <w:pPr>
      <w:pStyle w:val="Pidipagina"/>
      <w:spacing w:before="40" w:line="180" w:lineRule="exact"/>
      <w:ind w:left="3540"/>
      <w:rPr>
        <w:color w:val="194691"/>
        <w:sz w:val="14"/>
      </w:rPr>
    </w:pPr>
    <w:r w:rsidRPr="001A5CEE">
      <w:rPr>
        <w:b/>
        <w:bCs/>
        <w:color w:val="194691"/>
        <w:sz w:val="14"/>
      </w:rPr>
      <w:t xml:space="preserve">  </w:t>
    </w:r>
    <w:r w:rsidRPr="001A5CEE">
      <w:rPr>
        <w:color w:val="194691"/>
        <w:sz w:val="14"/>
      </w:rPr>
      <w:t xml:space="preserve">reg. </w:t>
    </w:r>
    <w:proofErr w:type="spellStart"/>
    <w:r w:rsidRPr="001A5CEE">
      <w:rPr>
        <w:color w:val="194691"/>
        <w:sz w:val="14"/>
      </w:rPr>
      <w:t>imp</w:t>
    </w:r>
    <w:proofErr w:type="spellEnd"/>
    <w:r w:rsidRPr="001A5CEE">
      <w:rPr>
        <w:color w:val="194691"/>
        <w:sz w:val="14"/>
      </w:rPr>
      <w:t xml:space="preserve">. Bologna, c.f. e p. iva 02650601202 </w:t>
    </w:r>
  </w:p>
  <w:p w14:paraId="5C353A43" w14:textId="77777777" w:rsidR="00B860D6" w:rsidRPr="00E3628D" w:rsidRDefault="00B860D6" w:rsidP="00B860D6">
    <w:pPr>
      <w:pStyle w:val="Pidipagina"/>
      <w:spacing w:before="40" w:line="180" w:lineRule="exact"/>
      <w:ind w:left="3540"/>
      <w:rPr>
        <w:color w:val="194691"/>
        <w:sz w:val="14"/>
      </w:rPr>
    </w:pPr>
    <w:r w:rsidRPr="001A5CEE">
      <w:rPr>
        <w:b/>
        <w:bCs/>
        <w:color w:val="194691"/>
        <w:sz w:val="14"/>
      </w:rPr>
      <w:t xml:space="preserve">  </w:t>
    </w:r>
    <w:r w:rsidRPr="001A5CEE">
      <w:rPr>
        <w:color w:val="194691"/>
        <w:sz w:val="14"/>
      </w:rPr>
      <w:t>Piazza Trento e Trieste 3, 40137 Bologna, Italia</w:t>
    </w:r>
  </w:p>
  <w:p w14:paraId="0108F668" w14:textId="77777777" w:rsidR="00B860D6" w:rsidRPr="00AA069E" w:rsidRDefault="00B860D6" w:rsidP="00B860D6">
    <w:pPr>
      <w:pStyle w:val="Pidipagina"/>
      <w:spacing w:before="40" w:line="180" w:lineRule="exact"/>
      <w:ind w:left="3540"/>
      <w:rPr>
        <w:color w:val="194691"/>
        <w:sz w:val="14"/>
        <w:lang w:val="en-US"/>
      </w:rPr>
    </w:pPr>
    <w:r w:rsidRPr="001A5CEE">
      <w:rPr>
        <w:b/>
        <w:bCs/>
        <w:color w:val="194691"/>
        <w:sz w:val="14"/>
      </w:rPr>
      <w:t xml:space="preserve">  </w:t>
    </w:r>
    <w:r>
      <w:rPr>
        <w:color w:val="194691"/>
        <w:sz w:val="14"/>
        <w:lang w:val="en-GB"/>
      </w:rPr>
      <w:t>tel. +39 051 648 0911, fax +39 051 220 753</w:t>
    </w:r>
  </w:p>
  <w:p w14:paraId="4FE1B3FF" w14:textId="77777777" w:rsidR="00B860D6" w:rsidRPr="00AA069E" w:rsidRDefault="00B860D6" w:rsidP="00B860D6">
    <w:pPr>
      <w:pStyle w:val="Pidipagina"/>
      <w:spacing w:before="40" w:line="180" w:lineRule="exact"/>
      <w:ind w:left="3540"/>
      <w:rPr>
        <w:color w:val="194691"/>
        <w:sz w:val="14"/>
        <w:lang w:val="en-US"/>
      </w:rPr>
    </w:pPr>
    <w:r>
      <w:rPr>
        <w:b/>
        <w:bCs/>
        <w:color w:val="194691"/>
        <w:sz w:val="14"/>
        <w:lang w:val="en-GB"/>
      </w:rPr>
      <w:t xml:space="preserve">  </w:t>
    </w:r>
    <w:r>
      <w:rPr>
        <w:color w:val="194691"/>
        <w:sz w:val="14"/>
        <w:lang w:val="en-GB"/>
      </w:rPr>
      <w:t>info@prometeiaadvisor.com</w:t>
    </w:r>
  </w:p>
  <w:p w14:paraId="20C30AAB" w14:textId="77777777" w:rsidR="00B860D6" w:rsidRPr="00AA069E" w:rsidRDefault="00B860D6" w:rsidP="00B860D6">
    <w:pPr>
      <w:pStyle w:val="Pidipagina"/>
      <w:spacing w:before="40" w:line="280" w:lineRule="exact"/>
      <w:ind w:left="3540"/>
      <w:rPr>
        <w:b/>
        <w:color w:val="F15956"/>
        <w:sz w:val="14"/>
        <w:lang w:val="en-US"/>
      </w:rPr>
    </w:pPr>
    <w:r>
      <w:rPr>
        <w:b/>
        <w:bCs/>
        <w:color w:val="F15956"/>
        <w:sz w:val="14"/>
        <w:lang w:val="en-GB"/>
      </w:rPr>
      <w:t xml:space="preserve">  www.prometeia.it/financial-advisory</w:t>
    </w:r>
  </w:p>
  <w:p w14:paraId="6EFF1D8B" w14:textId="77777777" w:rsidR="00B860D6" w:rsidRPr="00AA069E" w:rsidRDefault="00B860D6">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783E" w14:textId="77777777" w:rsidR="00B66F70" w:rsidRDefault="00B66F70" w:rsidP="003852D3">
      <w:pPr>
        <w:spacing w:after="0" w:line="240" w:lineRule="auto"/>
      </w:pPr>
      <w:r>
        <w:separator/>
      </w:r>
    </w:p>
  </w:footnote>
  <w:footnote w:type="continuationSeparator" w:id="0">
    <w:p w14:paraId="7D5C7524" w14:textId="77777777" w:rsidR="00B66F70" w:rsidRDefault="00B66F70" w:rsidP="003852D3">
      <w:pPr>
        <w:spacing w:after="0" w:line="240" w:lineRule="auto"/>
      </w:pPr>
      <w:r>
        <w:continuationSeparator/>
      </w:r>
    </w:p>
  </w:footnote>
  <w:footnote w:type="continuationNotice" w:id="1">
    <w:p w14:paraId="258C8E8B" w14:textId="77777777" w:rsidR="00B66F70" w:rsidRDefault="00B66F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9F6E" w14:textId="77777777" w:rsidR="00CC2228" w:rsidRDefault="00CC222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4AE2" w14:textId="20A1730D" w:rsidR="00B860D6" w:rsidRDefault="00B860D6">
    <w:pPr>
      <w:pStyle w:val="Intestazione"/>
    </w:pPr>
    <w:r>
      <w:rPr>
        <w:noProof/>
        <w:lang w:val="en-GB"/>
      </w:rPr>
      <w:drawing>
        <wp:anchor distT="0" distB="0" distL="114300" distR="114300" simplePos="0" relativeHeight="251661312" behindDoc="1" locked="0" layoutInCell="1" allowOverlap="1" wp14:anchorId="6CC782C6" wp14:editId="18A3B514">
          <wp:simplePos x="0" y="0"/>
          <wp:positionH relativeFrom="margin">
            <wp:align>left</wp:align>
          </wp:positionH>
          <wp:positionV relativeFrom="paragraph">
            <wp:posOffset>-276225</wp:posOffset>
          </wp:positionV>
          <wp:extent cx="1708208" cy="837732"/>
          <wp:effectExtent l="0" t="0" r="0" b="0"/>
          <wp:wrapNone/>
          <wp:docPr id="290910431" name="Immagine 290910431" descr="Immagine che contiene Elementi grafici, Carattere, grafica, log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Immagine che contiene Elementi grafici, Carattere, grafica,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8208" cy="8377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A441" w14:textId="1392B531" w:rsidR="001C6D92" w:rsidRPr="001A5CEE" w:rsidRDefault="00B860D6" w:rsidP="001C6D92">
    <w:pPr>
      <w:pStyle w:val="Intestazione"/>
      <w:jc w:val="right"/>
      <w:rPr>
        <w:rFonts w:ascii="Arial" w:hAnsi="Arial" w:cs="Arial"/>
        <w:sz w:val="18"/>
        <w:szCs w:val="18"/>
        <w:lang w:val="en-US"/>
      </w:rPr>
    </w:pPr>
    <w:r>
      <w:rPr>
        <w:noProof/>
        <w:lang w:val="en-GB"/>
      </w:rPr>
      <w:drawing>
        <wp:anchor distT="0" distB="0" distL="114300" distR="114300" simplePos="0" relativeHeight="251659264" behindDoc="1" locked="0" layoutInCell="1" allowOverlap="1" wp14:anchorId="6293838E" wp14:editId="7E190353">
          <wp:simplePos x="0" y="0"/>
          <wp:positionH relativeFrom="margin">
            <wp:align>left</wp:align>
          </wp:positionH>
          <wp:positionV relativeFrom="paragraph">
            <wp:posOffset>-307340</wp:posOffset>
          </wp:positionV>
          <wp:extent cx="1708208" cy="837732"/>
          <wp:effectExtent l="0" t="0" r="0" b="0"/>
          <wp:wrapNone/>
          <wp:docPr id="859459181" name="Immagine 859459181" descr="Immagine che contiene Elementi grafici, Carattere, grafica, log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Immagine che contiene Elementi grafici, Carattere, grafica,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8208" cy="8377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sz w:val="18"/>
        <w:szCs w:val="18"/>
        <w:lang w:val="en-GB"/>
      </w:rPr>
      <w:t>Web Platform Privacy Policy rev.</w:t>
    </w:r>
    <w:r w:rsidR="00CC2228">
      <w:rPr>
        <w:rFonts w:ascii="Arial" w:hAnsi="Arial"/>
        <w:sz w:val="18"/>
        <w:szCs w:val="18"/>
        <w:lang w:val="en-GB"/>
      </w:rPr>
      <w:t>2</w:t>
    </w:r>
    <w:r>
      <w:rPr>
        <w:rFonts w:ascii="Arial" w:hAnsi="Arial"/>
        <w:sz w:val="18"/>
        <w:szCs w:val="18"/>
        <w:lang w:val="en-GB"/>
      </w:rPr>
      <w:t>_</w:t>
    </w:r>
    <w:r w:rsidR="00CC2228">
      <w:rPr>
        <w:rFonts w:ascii="Arial" w:hAnsi="Arial"/>
        <w:sz w:val="18"/>
        <w:szCs w:val="18"/>
        <w:lang w:val="en-GB"/>
      </w:rPr>
      <w:t>12.</w:t>
    </w:r>
    <w:r>
      <w:rPr>
        <w:rFonts w:ascii="Arial" w:hAnsi="Arial"/>
        <w:sz w:val="18"/>
        <w:szCs w:val="18"/>
        <w:lang w:val="en-GB"/>
      </w:rPr>
      <w:t xml:space="preserve"> 202</w:t>
    </w:r>
    <w:r w:rsidR="00CC2228">
      <w:rPr>
        <w:rFonts w:ascii="Arial" w:hAnsi="Arial"/>
        <w:sz w:val="18"/>
        <w:szCs w:val="18"/>
        <w:lang w:val="en-GB"/>
      </w:rPr>
      <w:t>4</w:t>
    </w:r>
  </w:p>
  <w:p w14:paraId="42A7F24A" w14:textId="5B6673D1" w:rsidR="001C6D92" w:rsidRPr="001A5CEE" w:rsidRDefault="00B860D6" w:rsidP="00B860D6">
    <w:pPr>
      <w:pStyle w:val="Intestazione"/>
      <w:tabs>
        <w:tab w:val="clear" w:pos="4513"/>
        <w:tab w:val="clear" w:pos="9026"/>
        <w:tab w:val="left" w:pos="5655"/>
      </w:tabs>
      <w:rPr>
        <w:lang w:val="en-US"/>
      </w:rPr>
    </w:pP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051A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476774145" o:spid="_x0000_i1025" type="#_x0000_t75" style="width:9.75pt;height:9.75pt;flip:y;visibility:visible;mso-wrap-style:square">
            <v:imagedata r:id="rId1" o:title=""/>
          </v:shape>
        </w:pict>
      </mc:Choice>
      <mc:Fallback>
        <w:drawing>
          <wp:inline distT="0" distB="0" distL="0" distR="0" wp14:anchorId="770C4642">
            <wp:extent cx="123825" cy="123825"/>
            <wp:effectExtent l="0" t="0" r="0" b="0"/>
            <wp:docPr id="1476774145" name="Immagine 147677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123825" cy="123825"/>
                    </a:xfrm>
                    <a:prstGeom prst="rect">
                      <a:avLst/>
                    </a:prstGeom>
                    <a:noFill/>
                    <a:ln>
                      <a:noFill/>
                    </a:ln>
                  </pic:spPr>
                </pic:pic>
              </a:graphicData>
            </a:graphic>
          </wp:inline>
        </w:drawing>
      </mc:Fallback>
    </mc:AlternateContent>
  </w:numPicBullet>
  <w:abstractNum w:abstractNumId="0" w15:restartNumberingAfterBreak="0">
    <w:nsid w:val="25A320B0"/>
    <w:multiLevelType w:val="hybridMultilevel"/>
    <w:tmpl w:val="61E884DA"/>
    <w:lvl w:ilvl="0" w:tplc="6372646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ED0B2A"/>
    <w:multiLevelType w:val="hybridMultilevel"/>
    <w:tmpl w:val="4468A6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C234F3D"/>
    <w:multiLevelType w:val="hybridMultilevel"/>
    <w:tmpl w:val="04B4EA80"/>
    <w:lvl w:ilvl="0" w:tplc="F612D272">
      <w:start w:val="1"/>
      <w:numFmt w:val="bullet"/>
      <w:lvlText w:val="-"/>
      <w:lvlJc w:val="left"/>
      <w:pPr>
        <w:ind w:left="720" w:hanging="360"/>
      </w:pPr>
      <w:rPr>
        <w:rFonts w:ascii="Lucida Sans Unicode" w:eastAsiaTheme="minorHAnsi"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10EEA"/>
    <w:multiLevelType w:val="hybridMultilevel"/>
    <w:tmpl w:val="C434A664"/>
    <w:lvl w:ilvl="0" w:tplc="DE309822">
      <w:start w:val="1"/>
      <w:numFmt w:val="bullet"/>
      <w:lvlText w:val=""/>
      <w:lvlPicBulletId w:val="0"/>
      <w:lvlJc w:val="left"/>
      <w:pPr>
        <w:tabs>
          <w:tab w:val="num" w:pos="720"/>
        </w:tabs>
        <w:ind w:left="720" w:hanging="360"/>
      </w:pPr>
      <w:rPr>
        <w:rFonts w:ascii="Symbol" w:hAnsi="Symbol" w:hint="default"/>
      </w:rPr>
    </w:lvl>
    <w:lvl w:ilvl="1" w:tplc="D8F01678" w:tentative="1">
      <w:start w:val="1"/>
      <w:numFmt w:val="bullet"/>
      <w:lvlText w:val=""/>
      <w:lvlJc w:val="left"/>
      <w:pPr>
        <w:tabs>
          <w:tab w:val="num" w:pos="1440"/>
        </w:tabs>
        <w:ind w:left="1440" w:hanging="360"/>
      </w:pPr>
      <w:rPr>
        <w:rFonts w:ascii="Symbol" w:hAnsi="Symbol" w:hint="default"/>
      </w:rPr>
    </w:lvl>
    <w:lvl w:ilvl="2" w:tplc="7D0A6BC8" w:tentative="1">
      <w:start w:val="1"/>
      <w:numFmt w:val="bullet"/>
      <w:lvlText w:val=""/>
      <w:lvlJc w:val="left"/>
      <w:pPr>
        <w:tabs>
          <w:tab w:val="num" w:pos="2160"/>
        </w:tabs>
        <w:ind w:left="2160" w:hanging="360"/>
      </w:pPr>
      <w:rPr>
        <w:rFonts w:ascii="Symbol" w:hAnsi="Symbol" w:hint="default"/>
      </w:rPr>
    </w:lvl>
    <w:lvl w:ilvl="3" w:tplc="5C76AD24" w:tentative="1">
      <w:start w:val="1"/>
      <w:numFmt w:val="bullet"/>
      <w:lvlText w:val=""/>
      <w:lvlJc w:val="left"/>
      <w:pPr>
        <w:tabs>
          <w:tab w:val="num" w:pos="2880"/>
        </w:tabs>
        <w:ind w:left="2880" w:hanging="360"/>
      </w:pPr>
      <w:rPr>
        <w:rFonts w:ascii="Symbol" w:hAnsi="Symbol" w:hint="default"/>
      </w:rPr>
    </w:lvl>
    <w:lvl w:ilvl="4" w:tplc="C986B19A" w:tentative="1">
      <w:start w:val="1"/>
      <w:numFmt w:val="bullet"/>
      <w:lvlText w:val=""/>
      <w:lvlJc w:val="left"/>
      <w:pPr>
        <w:tabs>
          <w:tab w:val="num" w:pos="3600"/>
        </w:tabs>
        <w:ind w:left="3600" w:hanging="360"/>
      </w:pPr>
      <w:rPr>
        <w:rFonts w:ascii="Symbol" w:hAnsi="Symbol" w:hint="default"/>
      </w:rPr>
    </w:lvl>
    <w:lvl w:ilvl="5" w:tplc="14D2035C" w:tentative="1">
      <w:start w:val="1"/>
      <w:numFmt w:val="bullet"/>
      <w:lvlText w:val=""/>
      <w:lvlJc w:val="left"/>
      <w:pPr>
        <w:tabs>
          <w:tab w:val="num" w:pos="4320"/>
        </w:tabs>
        <w:ind w:left="4320" w:hanging="360"/>
      </w:pPr>
      <w:rPr>
        <w:rFonts w:ascii="Symbol" w:hAnsi="Symbol" w:hint="default"/>
      </w:rPr>
    </w:lvl>
    <w:lvl w:ilvl="6" w:tplc="24869D00" w:tentative="1">
      <w:start w:val="1"/>
      <w:numFmt w:val="bullet"/>
      <w:lvlText w:val=""/>
      <w:lvlJc w:val="left"/>
      <w:pPr>
        <w:tabs>
          <w:tab w:val="num" w:pos="5040"/>
        </w:tabs>
        <w:ind w:left="5040" w:hanging="360"/>
      </w:pPr>
      <w:rPr>
        <w:rFonts w:ascii="Symbol" w:hAnsi="Symbol" w:hint="default"/>
      </w:rPr>
    </w:lvl>
    <w:lvl w:ilvl="7" w:tplc="77125C8E" w:tentative="1">
      <w:start w:val="1"/>
      <w:numFmt w:val="bullet"/>
      <w:lvlText w:val=""/>
      <w:lvlJc w:val="left"/>
      <w:pPr>
        <w:tabs>
          <w:tab w:val="num" w:pos="5760"/>
        </w:tabs>
        <w:ind w:left="5760" w:hanging="360"/>
      </w:pPr>
      <w:rPr>
        <w:rFonts w:ascii="Symbol" w:hAnsi="Symbol" w:hint="default"/>
      </w:rPr>
    </w:lvl>
    <w:lvl w:ilvl="8" w:tplc="43FC86C8" w:tentative="1">
      <w:start w:val="1"/>
      <w:numFmt w:val="bullet"/>
      <w:lvlText w:val=""/>
      <w:lvlJc w:val="left"/>
      <w:pPr>
        <w:tabs>
          <w:tab w:val="num" w:pos="6480"/>
        </w:tabs>
        <w:ind w:left="6480" w:hanging="360"/>
      </w:pPr>
      <w:rPr>
        <w:rFonts w:ascii="Symbol" w:hAnsi="Symbol" w:hint="default"/>
      </w:rPr>
    </w:lvl>
  </w:abstractNum>
  <w:num w:numId="1" w16cid:durableId="2063865403">
    <w:abstractNumId w:val="3"/>
  </w:num>
  <w:num w:numId="2" w16cid:durableId="1627202627">
    <w:abstractNumId w:val="1"/>
  </w:num>
  <w:num w:numId="3" w16cid:durableId="1559706255">
    <w:abstractNumId w:val="0"/>
  </w:num>
  <w:num w:numId="4" w16cid:durableId="2013025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30D"/>
    <w:rsid w:val="00026C3D"/>
    <w:rsid w:val="00027E2F"/>
    <w:rsid w:val="00051452"/>
    <w:rsid w:val="00080C4A"/>
    <w:rsid w:val="0009140F"/>
    <w:rsid w:val="000A7A14"/>
    <w:rsid w:val="000E22C9"/>
    <w:rsid w:val="001239D1"/>
    <w:rsid w:val="00132BB3"/>
    <w:rsid w:val="001347E9"/>
    <w:rsid w:val="00145091"/>
    <w:rsid w:val="001624D6"/>
    <w:rsid w:val="00186320"/>
    <w:rsid w:val="001938E2"/>
    <w:rsid w:val="001A5CEE"/>
    <w:rsid w:val="001A5F4B"/>
    <w:rsid w:val="001C1960"/>
    <w:rsid w:val="001C5C3D"/>
    <w:rsid w:val="001C6D92"/>
    <w:rsid w:val="001C7249"/>
    <w:rsid w:val="001C7A9F"/>
    <w:rsid w:val="001E3C07"/>
    <w:rsid w:val="00212C23"/>
    <w:rsid w:val="00214400"/>
    <w:rsid w:val="00244FA2"/>
    <w:rsid w:val="0026027A"/>
    <w:rsid w:val="00273C8C"/>
    <w:rsid w:val="0027495D"/>
    <w:rsid w:val="00284932"/>
    <w:rsid w:val="002B1605"/>
    <w:rsid w:val="002B16DD"/>
    <w:rsid w:val="002B625F"/>
    <w:rsid w:val="002D1486"/>
    <w:rsid w:val="002D62BD"/>
    <w:rsid w:val="002F74C5"/>
    <w:rsid w:val="0031173D"/>
    <w:rsid w:val="0031692F"/>
    <w:rsid w:val="00320F82"/>
    <w:rsid w:val="0034356A"/>
    <w:rsid w:val="00357DDE"/>
    <w:rsid w:val="0037381F"/>
    <w:rsid w:val="003852D3"/>
    <w:rsid w:val="00390095"/>
    <w:rsid w:val="003A3DD9"/>
    <w:rsid w:val="003B1098"/>
    <w:rsid w:val="003C1CD7"/>
    <w:rsid w:val="003D6D5E"/>
    <w:rsid w:val="003E5E55"/>
    <w:rsid w:val="003E7E67"/>
    <w:rsid w:val="003F1F4E"/>
    <w:rsid w:val="00412163"/>
    <w:rsid w:val="004131F6"/>
    <w:rsid w:val="0041380F"/>
    <w:rsid w:val="0043379D"/>
    <w:rsid w:val="00434005"/>
    <w:rsid w:val="00447382"/>
    <w:rsid w:val="00456439"/>
    <w:rsid w:val="00461D93"/>
    <w:rsid w:val="00465ABB"/>
    <w:rsid w:val="00470618"/>
    <w:rsid w:val="0049416E"/>
    <w:rsid w:val="00497EBD"/>
    <w:rsid w:val="004B1340"/>
    <w:rsid w:val="004D2DE8"/>
    <w:rsid w:val="004D49D8"/>
    <w:rsid w:val="004F0DD6"/>
    <w:rsid w:val="004F1F0D"/>
    <w:rsid w:val="0050631B"/>
    <w:rsid w:val="0051484D"/>
    <w:rsid w:val="00516EE7"/>
    <w:rsid w:val="00517700"/>
    <w:rsid w:val="00522787"/>
    <w:rsid w:val="00526986"/>
    <w:rsid w:val="00530D7B"/>
    <w:rsid w:val="00540EB6"/>
    <w:rsid w:val="00562750"/>
    <w:rsid w:val="005A1E73"/>
    <w:rsid w:val="005B1014"/>
    <w:rsid w:val="005B21BD"/>
    <w:rsid w:val="005B5721"/>
    <w:rsid w:val="005B5DD7"/>
    <w:rsid w:val="005D1946"/>
    <w:rsid w:val="005D7490"/>
    <w:rsid w:val="00600059"/>
    <w:rsid w:val="00634B35"/>
    <w:rsid w:val="006366FC"/>
    <w:rsid w:val="0065130D"/>
    <w:rsid w:val="006554D0"/>
    <w:rsid w:val="006600DB"/>
    <w:rsid w:val="006610FC"/>
    <w:rsid w:val="00663BD0"/>
    <w:rsid w:val="00670D77"/>
    <w:rsid w:val="006718B3"/>
    <w:rsid w:val="00696CA4"/>
    <w:rsid w:val="006B0CEB"/>
    <w:rsid w:val="006B21EF"/>
    <w:rsid w:val="006C00D7"/>
    <w:rsid w:val="006F0383"/>
    <w:rsid w:val="006F0FF4"/>
    <w:rsid w:val="006F2EA2"/>
    <w:rsid w:val="00705A62"/>
    <w:rsid w:val="007151EA"/>
    <w:rsid w:val="0074036F"/>
    <w:rsid w:val="00740589"/>
    <w:rsid w:val="007415C9"/>
    <w:rsid w:val="00760EE0"/>
    <w:rsid w:val="00765A58"/>
    <w:rsid w:val="007C1478"/>
    <w:rsid w:val="007C5206"/>
    <w:rsid w:val="007C7946"/>
    <w:rsid w:val="007D1BA6"/>
    <w:rsid w:val="007E616F"/>
    <w:rsid w:val="007E63C3"/>
    <w:rsid w:val="008010FF"/>
    <w:rsid w:val="00817656"/>
    <w:rsid w:val="00847B1B"/>
    <w:rsid w:val="00862EDA"/>
    <w:rsid w:val="00863D0F"/>
    <w:rsid w:val="0088121F"/>
    <w:rsid w:val="00885260"/>
    <w:rsid w:val="00887DD2"/>
    <w:rsid w:val="008A6021"/>
    <w:rsid w:val="008B325F"/>
    <w:rsid w:val="008C0BEB"/>
    <w:rsid w:val="00942B37"/>
    <w:rsid w:val="00955E54"/>
    <w:rsid w:val="00964095"/>
    <w:rsid w:val="00965793"/>
    <w:rsid w:val="00971611"/>
    <w:rsid w:val="00985CF7"/>
    <w:rsid w:val="00997D08"/>
    <w:rsid w:val="009D3727"/>
    <w:rsid w:val="009E1F27"/>
    <w:rsid w:val="009E5534"/>
    <w:rsid w:val="00A04D73"/>
    <w:rsid w:val="00A06758"/>
    <w:rsid w:val="00A12975"/>
    <w:rsid w:val="00A1300C"/>
    <w:rsid w:val="00A14D1B"/>
    <w:rsid w:val="00A166E2"/>
    <w:rsid w:val="00A17586"/>
    <w:rsid w:val="00A327F1"/>
    <w:rsid w:val="00A46EB7"/>
    <w:rsid w:val="00A510E7"/>
    <w:rsid w:val="00A64BA0"/>
    <w:rsid w:val="00A700AE"/>
    <w:rsid w:val="00A74320"/>
    <w:rsid w:val="00A749CF"/>
    <w:rsid w:val="00A7798E"/>
    <w:rsid w:val="00A80546"/>
    <w:rsid w:val="00A80DF8"/>
    <w:rsid w:val="00A81771"/>
    <w:rsid w:val="00A82A6B"/>
    <w:rsid w:val="00A90BC5"/>
    <w:rsid w:val="00AA069E"/>
    <w:rsid w:val="00AB5824"/>
    <w:rsid w:val="00AB7B2B"/>
    <w:rsid w:val="00AD6DFF"/>
    <w:rsid w:val="00AE4307"/>
    <w:rsid w:val="00AF3792"/>
    <w:rsid w:val="00B2657F"/>
    <w:rsid w:val="00B64106"/>
    <w:rsid w:val="00B66F70"/>
    <w:rsid w:val="00B81EE0"/>
    <w:rsid w:val="00B860D6"/>
    <w:rsid w:val="00BE7A3D"/>
    <w:rsid w:val="00C328CF"/>
    <w:rsid w:val="00C529DD"/>
    <w:rsid w:val="00C63369"/>
    <w:rsid w:val="00C86AAD"/>
    <w:rsid w:val="00CA5E72"/>
    <w:rsid w:val="00CB68D6"/>
    <w:rsid w:val="00CC2228"/>
    <w:rsid w:val="00CC6FCC"/>
    <w:rsid w:val="00CE459D"/>
    <w:rsid w:val="00D0085D"/>
    <w:rsid w:val="00D07E56"/>
    <w:rsid w:val="00D17CB3"/>
    <w:rsid w:val="00D220EB"/>
    <w:rsid w:val="00D24EDE"/>
    <w:rsid w:val="00D34626"/>
    <w:rsid w:val="00D407C5"/>
    <w:rsid w:val="00D4302C"/>
    <w:rsid w:val="00D44B11"/>
    <w:rsid w:val="00D522CE"/>
    <w:rsid w:val="00D703B8"/>
    <w:rsid w:val="00D8563B"/>
    <w:rsid w:val="00D92CE5"/>
    <w:rsid w:val="00D9436E"/>
    <w:rsid w:val="00D94AFD"/>
    <w:rsid w:val="00DA1B94"/>
    <w:rsid w:val="00DB5A54"/>
    <w:rsid w:val="00DD347B"/>
    <w:rsid w:val="00DF76BA"/>
    <w:rsid w:val="00E14D89"/>
    <w:rsid w:val="00E179E2"/>
    <w:rsid w:val="00E528AD"/>
    <w:rsid w:val="00E64C7D"/>
    <w:rsid w:val="00E73F19"/>
    <w:rsid w:val="00E833A9"/>
    <w:rsid w:val="00E92C8A"/>
    <w:rsid w:val="00E94B52"/>
    <w:rsid w:val="00EA60BF"/>
    <w:rsid w:val="00EB0FCF"/>
    <w:rsid w:val="00EB4C06"/>
    <w:rsid w:val="00EB5BD8"/>
    <w:rsid w:val="00EC5AD0"/>
    <w:rsid w:val="00EE5640"/>
    <w:rsid w:val="00EE6185"/>
    <w:rsid w:val="00EF1889"/>
    <w:rsid w:val="00EF6FDF"/>
    <w:rsid w:val="00F10A93"/>
    <w:rsid w:val="00F13E3E"/>
    <w:rsid w:val="00F4285C"/>
    <w:rsid w:val="00F7472D"/>
    <w:rsid w:val="00FA67C2"/>
    <w:rsid w:val="00FD01C7"/>
    <w:rsid w:val="00FD7615"/>
    <w:rsid w:val="00FE4EBC"/>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112A313"/>
  <w15:chartTrackingRefBased/>
  <w15:docId w15:val="{341EEADC-35E7-4905-9852-FE6271B5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3379D"/>
    <w:rPr>
      <w:color w:val="0563C1" w:themeColor="hyperlink"/>
      <w:u w:val="single"/>
    </w:rPr>
  </w:style>
  <w:style w:type="character" w:customStyle="1" w:styleId="Menzionenonrisolta1">
    <w:name w:val="Menzione non risolta1"/>
    <w:basedOn w:val="Carpredefinitoparagrafo"/>
    <w:uiPriority w:val="99"/>
    <w:semiHidden/>
    <w:unhideWhenUsed/>
    <w:rsid w:val="0043379D"/>
    <w:rPr>
      <w:color w:val="605E5C"/>
      <w:shd w:val="clear" w:color="auto" w:fill="E1DFDD"/>
    </w:rPr>
  </w:style>
  <w:style w:type="paragraph" w:styleId="Paragrafoelenco">
    <w:name w:val="List Paragraph"/>
    <w:basedOn w:val="Normale"/>
    <w:uiPriority w:val="34"/>
    <w:qFormat/>
    <w:rsid w:val="00522787"/>
    <w:pPr>
      <w:ind w:left="720"/>
      <w:contextualSpacing/>
    </w:pPr>
  </w:style>
  <w:style w:type="paragraph" w:styleId="Testofumetto">
    <w:name w:val="Balloon Text"/>
    <w:basedOn w:val="Normale"/>
    <w:link w:val="TestofumettoCarattere"/>
    <w:uiPriority w:val="99"/>
    <w:semiHidden/>
    <w:unhideWhenUsed/>
    <w:rsid w:val="0037381F"/>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7381F"/>
    <w:rPr>
      <w:rFonts w:ascii="Times New Roman" w:hAnsi="Times New Roman" w:cs="Times New Roman"/>
      <w:sz w:val="18"/>
      <w:szCs w:val="18"/>
    </w:rPr>
  </w:style>
  <w:style w:type="paragraph" w:styleId="Intestazione">
    <w:name w:val="header"/>
    <w:basedOn w:val="Normale"/>
    <w:link w:val="IntestazioneCarattere"/>
    <w:uiPriority w:val="99"/>
    <w:unhideWhenUsed/>
    <w:rsid w:val="003852D3"/>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852D3"/>
  </w:style>
  <w:style w:type="paragraph" w:styleId="Pidipagina">
    <w:name w:val="footer"/>
    <w:basedOn w:val="Normale"/>
    <w:link w:val="PidipaginaCarattere"/>
    <w:uiPriority w:val="99"/>
    <w:unhideWhenUsed/>
    <w:rsid w:val="003852D3"/>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852D3"/>
  </w:style>
  <w:style w:type="character" w:styleId="Rimandocommento">
    <w:name w:val="annotation reference"/>
    <w:basedOn w:val="Carpredefinitoparagrafo"/>
    <w:uiPriority w:val="99"/>
    <w:unhideWhenUsed/>
    <w:rsid w:val="004F1F0D"/>
    <w:rPr>
      <w:sz w:val="16"/>
      <w:szCs w:val="16"/>
    </w:rPr>
  </w:style>
  <w:style w:type="paragraph" w:styleId="Testocommento">
    <w:name w:val="annotation text"/>
    <w:basedOn w:val="Normale"/>
    <w:link w:val="TestocommentoCarattere"/>
    <w:uiPriority w:val="99"/>
    <w:unhideWhenUsed/>
    <w:rsid w:val="004F1F0D"/>
    <w:pPr>
      <w:spacing w:line="240" w:lineRule="auto"/>
    </w:pPr>
    <w:rPr>
      <w:sz w:val="20"/>
      <w:szCs w:val="20"/>
    </w:rPr>
  </w:style>
  <w:style w:type="character" w:customStyle="1" w:styleId="TestocommentoCarattere">
    <w:name w:val="Testo commento Carattere"/>
    <w:basedOn w:val="Carpredefinitoparagrafo"/>
    <w:link w:val="Testocommento"/>
    <w:uiPriority w:val="99"/>
    <w:rsid w:val="00C86AAD"/>
    <w:rPr>
      <w:sz w:val="20"/>
      <w:szCs w:val="20"/>
    </w:rPr>
  </w:style>
  <w:style w:type="paragraph" w:styleId="Soggettocommento">
    <w:name w:val="annotation subject"/>
    <w:basedOn w:val="Testocommento"/>
    <w:next w:val="Testocommento"/>
    <w:link w:val="SoggettocommentoCarattere"/>
    <w:uiPriority w:val="99"/>
    <w:semiHidden/>
    <w:unhideWhenUsed/>
    <w:rsid w:val="00C86AAD"/>
    <w:rPr>
      <w:b/>
      <w:bCs/>
    </w:rPr>
  </w:style>
  <w:style w:type="character" w:customStyle="1" w:styleId="SoggettocommentoCarattere">
    <w:name w:val="Soggetto commento Carattere"/>
    <w:basedOn w:val="TestocommentoCarattere"/>
    <w:link w:val="Soggettocommento"/>
    <w:uiPriority w:val="99"/>
    <w:semiHidden/>
    <w:rsid w:val="00C86AAD"/>
    <w:rPr>
      <w:b/>
      <w:bCs/>
      <w:sz w:val="20"/>
      <w:szCs w:val="20"/>
    </w:rPr>
  </w:style>
  <w:style w:type="character" w:styleId="Menzionenonrisolta">
    <w:name w:val="Unresolved Mention"/>
    <w:basedOn w:val="Carpredefinitoparagrafo"/>
    <w:uiPriority w:val="99"/>
    <w:semiHidden/>
    <w:unhideWhenUsed/>
    <w:rsid w:val="00CB68D6"/>
    <w:rPr>
      <w:color w:val="605E5C"/>
      <w:shd w:val="clear" w:color="auto" w:fill="E1DFDD"/>
    </w:rPr>
  </w:style>
  <w:style w:type="paragraph" w:styleId="Revisione">
    <w:name w:val="Revision"/>
    <w:hidden/>
    <w:uiPriority w:val="99"/>
    <w:semiHidden/>
    <w:rsid w:val="0031173D"/>
    <w:pPr>
      <w:spacing w:after="0" w:line="240" w:lineRule="auto"/>
    </w:pPr>
  </w:style>
  <w:style w:type="table" w:styleId="Grigliatabella">
    <w:name w:val="Table Grid"/>
    <w:basedOn w:val="Tabellanormale"/>
    <w:uiPriority w:val="39"/>
    <w:rsid w:val="00FA6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59380">
      <w:bodyDiv w:val="1"/>
      <w:marLeft w:val="0"/>
      <w:marRight w:val="0"/>
      <w:marTop w:val="0"/>
      <w:marBottom w:val="0"/>
      <w:divBdr>
        <w:top w:val="none" w:sz="0" w:space="0" w:color="auto"/>
        <w:left w:val="none" w:sz="0" w:space="0" w:color="auto"/>
        <w:bottom w:val="none" w:sz="0" w:space="0" w:color="auto"/>
        <w:right w:val="none" w:sz="0" w:space="0" w:color="auto"/>
      </w:divBdr>
      <w:divsChild>
        <w:div w:id="103690977">
          <w:marLeft w:val="0"/>
          <w:marRight w:val="0"/>
          <w:marTop w:val="0"/>
          <w:marBottom w:val="0"/>
          <w:divBdr>
            <w:top w:val="none" w:sz="0" w:space="0" w:color="auto"/>
            <w:left w:val="none" w:sz="0" w:space="0" w:color="auto"/>
            <w:bottom w:val="none" w:sz="0" w:space="0" w:color="auto"/>
            <w:right w:val="none" w:sz="0" w:space="0" w:color="auto"/>
          </w:divBdr>
        </w:div>
        <w:div w:id="53353570">
          <w:marLeft w:val="0"/>
          <w:marRight w:val="0"/>
          <w:marTop w:val="0"/>
          <w:marBottom w:val="0"/>
          <w:divBdr>
            <w:top w:val="none" w:sz="0" w:space="0" w:color="auto"/>
            <w:left w:val="none" w:sz="0" w:space="0" w:color="auto"/>
            <w:bottom w:val="none" w:sz="0" w:space="0" w:color="auto"/>
            <w:right w:val="none" w:sz="0" w:space="0" w:color="auto"/>
          </w:divBdr>
        </w:div>
        <w:div w:id="1753579036">
          <w:marLeft w:val="0"/>
          <w:marRight w:val="0"/>
          <w:marTop w:val="0"/>
          <w:marBottom w:val="0"/>
          <w:divBdr>
            <w:top w:val="none" w:sz="0" w:space="0" w:color="auto"/>
            <w:left w:val="none" w:sz="0" w:space="0" w:color="auto"/>
            <w:bottom w:val="none" w:sz="0" w:space="0" w:color="auto"/>
            <w:right w:val="none" w:sz="0" w:space="0" w:color="auto"/>
          </w:divBdr>
        </w:div>
        <w:div w:id="380908849">
          <w:marLeft w:val="0"/>
          <w:marRight w:val="0"/>
          <w:marTop w:val="0"/>
          <w:marBottom w:val="0"/>
          <w:divBdr>
            <w:top w:val="none" w:sz="0" w:space="0" w:color="auto"/>
            <w:left w:val="none" w:sz="0" w:space="0" w:color="auto"/>
            <w:bottom w:val="none" w:sz="0" w:space="0" w:color="auto"/>
            <w:right w:val="none" w:sz="0" w:space="0" w:color="auto"/>
          </w:divBdr>
        </w:div>
        <w:div w:id="749696577">
          <w:marLeft w:val="0"/>
          <w:marRight w:val="0"/>
          <w:marTop w:val="0"/>
          <w:marBottom w:val="0"/>
          <w:divBdr>
            <w:top w:val="none" w:sz="0" w:space="0" w:color="auto"/>
            <w:left w:val="none" w:sz="0" w:space="0" w:color="auto"/>
            <w:bottom w:val="none" w:sz="0" w:space="0" w:color="auto"/>
            <w:right w:val="none" w:sz="0" w:space="0" w:color="auto"/>
          </w:divBdr>
        </w:div>
        <w:div w:id="1075589301">
          <w:marLeft w:val="0"/>
          <w:marRight w:val="0"/>
          <w:marTop w:val="0"/>
          <w:marBottom w:val="0"/>
          <w:divBdr>
            <w:top w:val="none" w:sz="0" w:space="0" w:color="auto"/>
            <w:left w:val="none" w:sz="0" w:space="0" w:color="auto"/>
            <w:bottom w:val="none" w:sz="0" w:space="0" w:color="auto"/>
            <w:right w:val="none" w:sz="0" w:space="0" w:color="auto"/>
          </w:divBdr>
        </w:div>
        <w:div w:id="3543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prometeiaadvisor.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ometeiaadvisorsim@postecert.it"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m.advisor.prometeia.net/flex/AppData/WebLive/PrivacyPolicy/2230620_Informativa_Privacy_Web_Platform_per_consultazione.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ometeiaadvisor.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prometeiaadvisor.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prometeiaadvisor.com"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1A3089DD870D499465FD79CC8EA99F" ma:contentTypeVersion="4" ma:contentTypeDescription="Create a new document." ma:contentTypeScope="" ma:versionID="dfd7b3ff3357794119c890064e6c402b">
  <xsd:schema xmlns:xsd="http://www.w3.org/2001/XMLSchema" xmlns:xs="http://www.w3.org/2001/XMLSchema" xmlns:p="http://schemas.microsoft.com/office/2006/metadata/properties" xmlns:ns2="5e67b576-59f2-48f1-9759-c70402042eda" targetNamespace="http://schemas.microsoft.com/office/2006/metadata/properties" ma:root="true" ma:fieldsID="74639d8a8546d3b3924d5722b8b809f2" ns2:_="">
    <xsd:import namespace="5e67b576-59f2-48f1-9759-c70402042e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7b576-59f2-48f1-9759-c70402042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FA057-F8A2-4744-8850-8980F1203AC4}">
  <ds:schemaRefs>
    <ds:schemaRef ds:uri="http://schemas.microsoft.com/sharepoint/v3/contenttype/forms"/>
  </ds:schemaRefs>
</ds:datastoreItem>
</file>

<file path=customXml/itemProps2.xml><?xml version="1.0" encoding="utf-8"?>
<ds:datastoreItem xmlns:ds="http://schemas.openxmlformats.org/officeDocument/2006/customXml" ds:itemID="{1441E4CE-0DCC-4038-BA5B-A409E8E6A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7b576-59f2-48f1-9759-c70402042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01330-8083-4F7C-ADE2-902663D0F84A}">
  <ds:schemaRefs>
    <ds:schemaRef ds:uri="http://schemas.openxmlformats.org/officeDocument/2006/bibliography"/>
  </ds:schemaRefs>
</ds:datastoreItem>
</file>

<file path=customXml/itemProps4.xml><?xml version="1.0" encoding="utf-8"?>
<ds:datastoreItem xmlns:ds="http://schemas.openxmlformats.org/officeDocument/2006/customXml" ds:itemID="{F2397DAF-EEE7-42B9-82D6-3809C67762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Vinci</dc:creator>
  <cp:keywords/>
  <dc:description/>
  <cp:lastModifiedBy>Claudia Guidastri</cp:lastModifiedBy>
  <cp:revision>7</cp:revision>
  <dcterms:created xsi:type="dcterms:W3CDTF">2024-12-17T23:10:00Z</dcterms:created>
  <dcterms:modified xsi:type="dcterms:W3CDTF">2025-04-08T08:15:00Z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353b2c26,3fb5692e,440dce95</vt:lpwstr>
  </property>
  <property fmtid="{D5CDD505-2E9C-101B-9397-08002B2CF9AE}" pid="3" name="ClassificationContentMarkingFooterFontProps">
    <vt:lpwstr>#000000,10,Calibri</vt:lpwstr>
  </property>
  <property fmtid="{D5CDD505-2E9C-101B-9397-08002B2CF9AE}" pid="4" name="ClassificationContentMarkingFooterText">
    <vt:lpwstr>Internal And Trusted Partner Use Only Document owned by Prometeia</vt:lpwstr>
  </property>
  <property fmtid="{D5CDD505-2E9C-101B-9397-08002B2CF9AE}" pid="5" name="MSIP_Label_5189b2de-3b3a-4e8b-b567-0ebdec9ba351_Enabled">
    <vt:lpwstr>true</vt:lpwstr>
  </property>
  <property fmtid="{D5CDD505-2E9C-101B-9397-08002B2CF9AE}" pid="6" name="MSIP_Label_5189b2de-3b3a-4e8b-b567-0ebdec9ba351_SetDate">
    <vt:lpwstr>2024-04-16T10:52:17Z</vt:lpwstr>
  </property>
  <property fmtid="{D5CDD505-2E9C-101B-9397-08002B2CF9AE}" pid="7" name="MSIP_Label_5189b2de-3b3a-4e8b-b567-0ebdec9ba351_Method">
    <vt:lpwstr>Standard</vt:lpwstr>
  </property>
  <property fmtid="{D5CDD505-2E9C-101B-9397-08002B2CF9AE}" pid="8" name="MSIP_Label_5189b2de-3b3a-4e8b-b567-0ebdec9ba351_Name">
    <vt:lpwstr>Internal Use Only</vt:lpwstr>
  </property>
  <property fmtid="{D5CDD505-2E9C-101B-9397-08002B2CF9AE}" pid="9" name="MSIP_Label_5189b2de-3b3a-4e8b-b567-0ebdec9ba351_SiteId">
    <vt:lpwstr>b0d66366-8b8a-4831-ae5f-9d15669342ce</vt:lpwstr>
  </property>
  <property fmtid="{D5CDD505-2E9C-101B-9397-08002B2CF9AE}" pid="10" name="MSIP_Label_5189b2de-3b3a-4e8b-b567-0ebdec9ba351_ActionId">
    <vt:lpwstr>e463c778-0bd8-42fa-aba3-b9bbff3e8013</vt:lpwstr>
  </property>
  <property fmtid="{D5CDD505-2E9C-101B-9397-08002B2CF9AE}" pid="11" name="MSIP_Label_5189b2de-3b3a-4e8b-b567-0ebdec9ba351_ContentBits">
    <vt:lpwstr>2</vt:lpwstr>
  </property>
  <property fmtid="{D5CDD505-2E9C-101B-9397-08002B2CF9AE}" pid="12" name="ContentTypeId">
    <vt:lpwstr>0x010100F31A3089DD870D499465FD79CC8EA99F</vt:lpwstr>
  </property>
</Properties>
</file>